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64D75" w:rsidRDefault="00364D75" w:rsidP="00BD40EC">
      <w:pPr>
        <w:pStyle w:val="Akapitzlist"/>
        <w:shd w:val="clear" w:color="auto" w:fill="FFFFFF"/>
        <w:spacing w:after="120" w:line="288" w:lineRule="auto"/>
        <w:ind w:left="0"/>
        <w:contextualSpacing w:val="0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bookmarkStart w:id="0" w:name="_GoBack"/>
      <w:bookmarkEnd w:id="0"/>
      <w:r w:rsidRPr="0023252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PROJEKT</w:t>
      </w:r>
    </w:p>
    <w:p w:rsidR="00BB18D3" w:rsidRDefault="00BB18D3" w:rsidP="00BD40EC">
      <w:pPr>
        <w:pStyle w:val="Akapitzlist"/>
        <w:shd w:val="clear" w:color="auto" w:fill="FFFFFF"/>
        <w:spacing w:after="120" w:line="288" w:lineRule="auto"/>
        <w:ind w:left="0"/>
        <w:contextualSpacing w:val="0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BB18D3" w:rsidRPr="0023252C" w:rsidRDefault="00BB18D3" w:rsidP="00BD40EC">
      <w:pPr>
        <w:pStyle w:val="Akapitzlist"/>
        <w:shd w:val="clear" w:color="auto" w:fill="FFFFFF"/>
        <w:spacing w:after="120" w:line="288" w:lineRule="auto"/>
        <w:ind w:left="0"/>
        <w:contextualSpacing w:val="0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364D75" w:rsidRPr="00BB18D3" w:rsidRDefault="00364D75" w:rsidP="00BD40EC">
      <w:pPr>
        <w:pStyle w:val="Akapitzlist"/>
        <w:shd w:val="clear" w:color="auto" w:fill="FFFFFF"/>
        <w:spacing w:after="120" w:line="288" w:lineRule="auto"/>
        <w:ind w:left="0"/>
        <w:contextualSpacing w:val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BB18D3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USTAWA</w:t>
      </w:r>
    </w:p>
    <w:p w:rsidR="00364D75" w:rsidRPr="00BB18D3" w:rsidRDefault="00364D75" w:rsidP="00BD40EC">
      <w:pPr>
        <w:pStyle w:val="Akapitzlist"/>
        <w:shd w:val="clear" w:color="auto" w:fill="FFFFFF"/>
        <w:spacing w:after="120" w:line="288" w:lineRule="auto"/>
        <w:ind w:left="0"/>
        <w:contextualSpacing w:val="0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B18D3">
        <w:rPr>
          <w:rFonts w:ascii="Times New Roman" w:eastAsia="Times New Roman" w:hAnsi="Times New Roman" w:cs="Times New Roman"/>
          <w:sz w:val="24"/>
          <w:szCs w:val="24"/>
          <w:lang w:eastAsia="pl-PL"/>
        </w:rPr>
        <w:t>z dnia …………… 2018 r.</w:t>
      </w:r>
    </w:p>
    <w:p w:rsidR="00364D75" w:rsidRPr="0023252C" w:rsidRDefault="00364D75" w:rsidP="00BD40EC">
      <w:pPr>
        <w:pStyle w:val="Akapitzlist"/>
        <w:shd w:val="clear" w:color="auto" w:fill="FFFFFF"/>
        <w:spacing w:after="120" w:line="288" w:lineRule="auto"/>
        <w:ind w:left="0"/>
        <w:contextualSpacing w:val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23252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o zmianie ustawy o Sądzie Najwyższym </w:t>
      </w:r>
      <w:r w:rsidR="00CA1C0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oraz</w:t>
      </w:r>
      <w:r w:rsidRPr="0023252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niektórych innych ustaw</w:t>
      </w:r>
    </w:p>
    <w:p w:rsidR="00364D75" w:rsidRDefault="00364D75" w:rsidP="00BD40EC">
      <w:pPr>
        <w:pStyle w:val="Akapitzlist"/>
        <w:shd w:val="clear" w:color="auto" w:fill="FFFFFF"/>
        <w:spacing w:after="120" w:line="288" w:lineRule="auto"/>
        <w:ind w:left="0"/>
        <w:contextualSpacing w:val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BB18D3" w:rsidRPr="0023252C" w:rsidRDefault="00BB18D3" w:rsidP="00BD40EC">
      <w:pPr>
        <w:pStyle w:val="Akapitzlist"/>
        <w:shd w:val="clear" w:color="auto" w:fill="FFFFFF"/>
        <w:spacing w:after="120" w:line="288" w:lineRule="auto"/>
        <w:ind w:left="0"/>
        <w:contextualSpacing w:val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364D75" w:rsidRPr="0023252C" w:rsidRDefault="00364D75" w:rsidP="00BD40EC">
      <w:pPr>
        <w:pStyle w:val="Akapitzlist"/>
        <w:shd w:val="clear" w:color="auto" w:fill="FFFFFF"/>
        <w:spacing w:after="120" w:line="288" w:lineRule="auto"/>
        <w:ind w:left="0"/>
        <w:contextualSpacing w:val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3252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Art. 1. </w:t>
      </w:r>
      <w:r w:rsidRPr="0023252C">
        <w:rPr>
          <w:rFonts w:ascii="Times New Roman" w:eastAsia="Times New Roman" w:hAnsi="Times New Roman" w:cs="Times New Roman"/>
          <w:sz w:val="24"/>
          <w:szCs w:val="24"/>
          <w:lang w:eastAsia="pl-PL"/>
        </w:rPr>
        <w:t>W us</w:t>
      </w:r>
      <w:r w:rsidR="00BB18D3">
        <w:rPr>
          <w:rFonts w:ascii="Times New Roman" w:eastAsia="Times New Roman" w:hAnsi="Times New Roman" w:cs="Times New Roman"/>
          <w:sz w:val="24"/>
          <w:szCs w:val="24"/>
          <w:lang w:eastAsia="pl-PL"/>
        </w:rPr>
        <w:t>tawie z dnia 8 grudnia 2017 r.</w:t>
      </w:r>
      <w:r w:rsidRPr="0023252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 Sądzie N</w:t>
      </w:r>
      <w:r w:rsidR="00BB18D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ajwyższym (Dz. U. z 2018 r. poz. </w:t>
      </w:r>
      <w:r w:rsidRPr="0023252C">
        <w:rPr>
          <w:rFonts w:ascii="Times New Roman" w:eastAsia="Times New Roman" w:hAnsi="Times New Roman" w:cs="Times New Roman"/>
          <w:sz w:val="24"/>
          <w:szCs w:val="24"/>
          <w:lang w:eastAsia="pl-PL"/>
        </w:rPr>
        <w:t>5</w:t>
      </w:r>
      <w:r w:rsidR="003C592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i </w:t>
      </w:r>
      <w:r w:rsidR="00933133" w:rsidRPr="0023252C">
        <w:rPr>
          <w:rFonts w:ascii="Times New Roman" w:eastAsia="Times New Roman" w:hAnsi="Times New Roman" w:cs="Times New Roman"/>
          <w:sz w:val="24"/>
          <w:szCs w:val="24"/>
          <w:lang w:eastAsia="pl-PL"/>
        </w:rPr>
        <w:t>650</w:t>
      </w:r>
      <w:r w:rsidRPr="0023252C">
        <w:rPr>
          <w:rFonts w:ascii="Times New Roman" w:eastAsia="Times New Roman" w:hAnsi="Times New Roman" w:cs="Times New Roman"/>
          <w:sz w:val="24"/>
          <w:szCs w:val="24"/>
          <w:lang w:eastAsia="pl-PL"/>
        </w:rPr>
        <w:t>) wprowadza się następujące zmiany:</w:t>
      </w:r>
    </w:p>
    <w:p w:rsidR="00364D75" w:rsidRPr="0023252C" w:rsidRDefault="00364D75" w:rsidP="00BD40EC">
      <w:pPr>
        <w:pStyle w:val="Akapitzlist"/>
        <w:numPr>
          <w:ilvl w:val="0"/>
          <w:numId w:val="9"/>
        </w:numPr>
        <w:shd w:val="clear" w:color="auto" w:fill="FFFFFF"/>
        <w:spacing w:after="120" w:line="288" w:lineRule="auto"/>
        <w:contextualSpacing w:val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3252C">
        <w:rPr>
          <w:rFonts w:ascii="Times New Roman" w:eastAsia="Times New Roman" w:hAnsi="Times New Roman" w:cs="Times New Roman"/>
          <w:sz w:val="24"/>
          <w:szCs w:val="24"/>
          <w:lang w:eastAsia="pl-PL"/>
        </w:rPr>
        <w:t>w art. 1 pkt 1 lit. b otrzymuje brzmienie:</w:t>
      </w:r>
    </w:p>
    <w:p w:rsidR="00364D75" w:rsidRPr="0023252C" w:rsidRDefault="00364D75" w:rsidP="00BD40EC">
      <w:pPr>
        <w:pStyle w:val="Akapitzlist"/>
        <w:shd w:val="clear" w:color="auto" w:fill="FFFFFF"/>
        <w:spacing w:after="120" w:line="288" w:lineRule="auto"/>
        <w:contextualSpacing w:val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3252C">
        <w:rPr>
          <w:rFonts w:ascii="Times New Roman" w:eastAsia="Times New Roman" w:hAnsi="Times New Roman" w:cs="Times New Roman"/>
          <w:sz w:val="24"/>
          <w:szCs w:val="24"/>
          <w:lang w:eastAsia="pl-PL"/>
        </w:rPr>
        <w:t>„b) kontrolę nadzwyczajną prawomocnych orzeczeń sądowych w celu zapewnienia ich zgodności z zasadą demokratycznego państwa prawnego urzeczywistniającego zasady sprawiedliwości społecznej przez rozpoznawanie skarg nadzwyczajnych;”;</w:t>
      </w:r>
    </w:p>
    <w:p w:rsidR="00364D75" w:rsidRPr="0023252C" w:rsidRDefault="00364D75" w:rsidP="00BD40EC">
      <w:pPr>
        <w:pStyle w:val="Akapitzlist"/>
        <w:numPr>
          <w:ilvl w:val="0"/>
          <w:numId w:val="9"/>
        </w:numPr>
        <w:shd w:val="clear" w:color="auto" w:fill="FFFFFF"/>
        <w:spacing w:after="120" w:line="288" w:lineRule="auto"/>
        <w:contextualSpacing w:val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3252C">
        <w:rPr>
          <w:rFonts w:ascii="Times New Roman" w:eastAsia="Times New Roman" w:hAnsi="Times New Roman" w:cs="Times New Roman"/>
          <w:sz w:val="24"/>
          <w:szCs w:val="24"/>
          <w:lang w:eastAsia="pl-PL"/>
        </w:rPr>
        <w:t>w art. 89:</w:t>
      </w:r>
    </w:p>
    <w:p w:rsidR="00364D75" w:rsidRPr="0023252C" w:rsidRDefault="00364D75" w:rsidP="00BD40EC">
      <w:pPr>
        <w:pStyle w:val="Akapitzlist"/>
        <w:numPr>
          <w:ilvl w:val="1"/>
          <w:numId w:val="1"/>
        </w:numPr>
        <w:shd w:val="clear" w:color="auto" w:fill="FFFFFF"/>
        <w:spacing w:after="120" w:line="288" w:lineRule="auto"/>
        <w:ind w:left="993" w:hanging="284"/>
        <w:contextualSpacing w:val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3252C">
        <w:rPr>
          <w:rFonts w:ascii="Times New Roman" w:eastAsia="Times New Roman" w:hAnsi="Times New Roman" w:cs="Times New Roman"/>
          <w:sz w:val="24"/>
          <w:szCs w:val="24"/>
          <w:lang w:eastAsia="pl-PL"/>
        </w:rPr>
        <w:t>§ 1 otrzymuje brzmienie:</w:t>
      </w:r>
    </w:p>
    <w:p w:rsidR="00364D75" w:rsidRPr="0023252C" w:rsidRDefault="00364D75" w:rsidP="00BD40EC">
      <w:pPr>
        <w:pStyle w:val="Akapitzlist"/>
        <w:shd w:val="clear" w:color="auto" w:fill="FFFFFF"/>
        <w:spacing w:after="120" w:line="288" w:lineRule="auto"/>
        <w:ind w:left="1134" w:hanging="283"/>
        <w:contextualSpacing w:val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3252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„§ 1. Jeżeli jest to konieczne dla zapewnienia </w:t>
      </w:r>
      <w:r w:rsidR="00813C1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zgodności z </w:t>
      </w:r>
      <w:r w:rsidRPr="0023252C">
        <w:rPr>
          <w:rFonts w:ascii="Times New Roman" w:eastAsia="Times New Roman" w:hAnsi="Times New Roman" w:cs="Times New Roman"/>
          <w:sz w:val="24"/>
          <w:szCs w:val="24"/>
          <w:lang w:eastAsia="pl-PL"/>
        </w:rPr>
        <w:t>zasad</w:t>
      </w:r>
      <w:r w:rsidR="00813C10">
        <w:rPr>
          <w:rFonts w:ascii="Times New Roman" w:eastAsia="Times New Roman" w:hAnsi="Times New Roman" w:cs="Times New Roman"/>
          <w:sz w:val="24"/>
          <w:szCs w:val="24"/>
          <w:lang w:eastAsia="pl-PL"/>
        </w:rPr>
        <w:t>ą</w:t>
      </w:r>
      <w:r w:rsidRPr="0023252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demokratycznego państwa prawnego urzeczywistniającego zasady sprawiedliwości społecznej, od prawomocnego orzeczenia sądu powszechnego lub sądu wojskowego kończącego postępowanie w sprawie może być wniesiona skarga nadzwyczajna, o ile:</w:t>
      </w:r>
    </w:p>
    <w:p w:rsidR="00364D75" w:rsidRPr="0023252C" w:rsidRDefault="00364D75" w:rsidP="00BD40EC">
      <w:pPr>
        <w:pStyle w:val="Akapitzlist"/>
        <w:numPr>
          <w:ilvl w:val="0"/>
          <w:numId w:val="2"/>
        </w:numPr>
        <w:shd w:val="clear" w:color="auto" w:fill="FFFFFF"/>
        <w:spacing w:after="120" w:line="288" w:lineRule="auto"/>
        <w:ind w:left="1418" w:hanging="284"/>
        <w:contextualSpacing w:val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3252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orzeczenie narusza zasady lub wolności i prawa człowieka i obywatela określone w Konstytucji, </w:t>
      </w:r>
      <w:r w:rsidR="003C592C">
        <w:rPr>
          <w:rFonts w:ascii="Times New Roman" w:eastAsia="Times New Roman" w:hAnsi="Times New Roman" w:cs="Times New Roman"/>
          <w:sz w:val="24"/>
          <w:szCs w:val="24"/>
          <w:lang w:eastAsia="pl-PL"/>
        </w:rPr>
        <w:t>lub</w:t>
      </w:r>
    </w:p>
    <w:p w:rsidR="00364D75" w:rsidRPr="0023252C" w:rsidRDefault="00364D75" w:rsidP="00BD40EC">
      <w:pPr>
        <w:pStyle w:val="Akapitzlist"/>
        <w:numPr>
          <w:ilvl w:val="0"/>
          <w:numId w:val="2"/>
        </w:numPr>
        <w:shd w:val="clear" w:color="auto" w:fill="FFFFFF"/>
        <w:spacing w:after="120" w:line="288" w:lineRule="auto"/>
        <w:ind w:left="1418" w:hanging="284"/>
        <w:contextualSpacing w:val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3252C">
        <w:rPr>
          <w:rFonts w:ascii="Times New Roman" w:eastAsia="Times New Roman" w:hAnsi="Times New Roman" w:cs="Times New Roman"/>
          <w:sz w:val="24"/>
          <w:szCs w:val="24"/>
          <w:lang w:eastAsia="pl-PL"/>
        </w:rPr>
        <w:t>orzeczenie w sposób rażący narusza prawo przez błędną jego wykładnię lub niewłaściwe zastosowanie</w:t>
      </w:r>
      <w:r w:rsidRPr="003C592C">
        <w:rPr>
          <w:rFonts w:ascii="Times New Roman" w:eastAsia="Times New Roman" w:hAnsi="Times New Roman" w:cs="Times New Roman"/>
          <w:sz w:val="24"/>
          <w:szCs w:val="24"/>
          <w:lang w:eastAsia="pl-PL"/>
        </w:rPr>
        <w:t>, lub</w:t>
      </w:r>
    </w:p>
    <w:p w:rsidR="00364D75" w:rsidRPr="0023252C" w:rsidRDefault="00364D75" w:rsidP="00BD40EC">
      <w:pPr>
        <w:pStyle w:val="Akapitzlist"/>
        <w:numPr>
          <w:ilvl w:val="0"/>
          <w:numId w:val="2"/>
        </w:numPr>
        <w:shd w:val="clear" w:color="auto" w:fill="FFFFFF"/>
        <w:spacing w:after="120" w:line="288" w:lineRule="auto"/>
        <w:ind w:left="1418" w:hanging="284"/>
        <w:contextualSpacing w:val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3252C">
        <w:rPr>
          <w:rFonts w:ascii="Times New Roman" w:eastAsia="Times New Roman" w:hAnsi="Times New Roman" w:cs="Times New Roman"/>
          <w:sz w:val="24"/>
          <w:szCs w:val="24"/>
          <w:lang w:eastAsia="pl-PL"/>
        </w:rPr>
        <w:t>zachodzi oczywista sprzeczność istotnych ustaleń sądu z treścią zebranego w sprawie materiału dowodowego</w:t>
      </w:r>
    </w:p>
    <w:p w:rsidR="00364D75" w:rsidRPr="0023252C" w:rsidRDefault="00D42EF5" w:rsidP="00BD40EC">
      <w:pPr>
        <w:shd w:val="clear" w:color="auto" w:fill="FFFFFF"/>
        <w:spacing w:after="120" w:line="288" w:lineRule="auto"/>
        <w:ind w:left="1134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3252C">
        <w:rPr>
          <w:rFonts w:ascii="Times New Roman" w:eastAsia="Times New Roman" w:hAnsi="Times New Roman" w:cs="Times New Roman"/>
          <w:sz w:val="24"/>
          <w:szCs w:val="24"/>
          <w:lang w:eastAsia="pl-PL"/>
        </w:rPr>
        <w:t>–</w:t>
      </w:r>
      <w:r w:rsidR="00364D75" w:rsidRPr="0023252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a orzeczenie nie może być uchylone lub zmienione w trybie innych nadzwyczajnych środków zaskarżenia.”,</w:t>
      </w:r>
    </w:p>
    <w:p w:rsidR="00364D75" w:rsidRPr="0023252C" w:rsidRDefault="00364D75" w:rsidP="00BD40EC">
      <w:pPr>
        <w:pStyle w:val="Akapitzlist"/>
        <w:numPr>
          <w:ilvl w:val="1"/>
          <w:numId w:val="1"/>
        </w:numPr>
        <w:shd w:val="clear" w:color="auto" w:fill="FFFFFF"/>
        <w:spacing w:after="120" w:line="288" w:lineRule="auto"/>
        <w:ind w:left="993" w:hanging="284"/>
        <w:contextualSpacing w:val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3252C">
        <w:rPr>
          <w:rFonts w:ascii="Times New Roman" w:eastAsia="Times New Roman" w:hAnsi="Times New Roman" w:cs="Times New Roman"/>
          <w:sz w:val="24"/>
          <w:szCs w:val="24"/>
          <w:lang w:eastAsia="pl-PL"/>
        </w:rPr>
        <w:t>§ 4 otrzymuje brzmienie:</w:t>
      </w:r>
    </w:p>
    <w:p w:rsidR="00364D75" w:rsidRPr="0023252C" w:rsidRDefault="00364D75" w:rsidP="00BD40EC">
      <w:pPr>
        <w:pStyle w:val="Akapitzlist"/>
        <w:shd w:val="clear" w:color="auto" w:fill="FFFFFF"/>
        <w:spacing w:after="120" w:line="288" w:lineRule="auto"/>
        <w:ind w:left="993" w:hanging="142"/>
        <w:contextualSpacing w:val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3252C">
        <w:rPr>
          <w:rFonts w:ascii="Times New Roman" w:eastAsia="Times New Roman" w:hAnsi="Times New Roman" w:cs="Times New Roman"/>
          <w:sz w:val="24"/>
          <w:szCs w:val="24"/>
          <w:lang w:eastAsia="pl-PL"/>
        </w:rPr>
        <w:t>„§ 4. Jeżeli zachodzą przesłanki wskazane w § 1, a zaskarżone orzeczenie wywołało nieodwracalne skutki prawne, w</w:t>
      </w:r>
      <w:r w:rsidR="00813C1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szczególności jeże</w:t>
      </w:r>
      <w:r w:rsidR="005870CC" w:rsidRPr="0023252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li od daty </w:t>
      </w:r>
      <w:r w:rsidRPr="0023252C">
        <w:rPr>
          <w:rFonts w:ascii="Times New Roman" w:eastAsia="Times New Roman" w:hAnsi="Times New Roman" w:cs="Times New Roman"/>
          <w:sz w:val="24"/>
          <w:szCs w:val="24"/>
          <w:lang w:eastAsia="pl-PL"/>
        </w:rPr>
        <w:t>uprawomocnienia się zaskarżonego orzeczenia upłynęło 5 lat, a także je</w:t>
      </w:r>
      <w:r w:rsidR="00813C10">
        <w:rPr>
          <w:rFonts w:ascii="Times New Roman" w:eastAsia="Times New Roman" w:hAnsi="Times New Roman" w:cs="Times New Roman"/>
          <w:sz w:val="24"/>
          <w:szCs w:val="24"/>
          <w:lang w:eastAsia="pl-PL"/>
        </w:rPr>
        <w:t>że</w:t>
      </w:r>
      <w:r w:rsidR="005870CC" w:rsidRPr="0023252C">
        <w:rPr>
          <w:rFonts w:ascii="Times New Roman" w:eastAsia="Times New Roman" w:hAnsi="Times New Roman" w:cs="Times New Roman"/>
          <w:sz w:val="24"/>
          <w:szCs w:val="24"/>
          <w:lang w:eastAsia="pl-PL"/>
        </w:rPr>
        <w:t>li uchylenie orzeczenia naruszy</w:t>
      </w:r>
      <w:r w:rsidRPr="0023252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łoby </w:t>
      </w:r>
      <w:r w:rsidR="008B0FFF">
        <w:rPr>
          <w:rFonts w:ascii="Times New Roman" w:eastAsia="Times New Roman" w:hAnsi="Times New Roman" w:cs="Times New Roman"/>
          <w:sz w:val="24"/>
          <w:szCs w:val="24"/>
          <w:lang w:eastAsia="pl-PL"/>
        </w:rPr>
        <w:t>międzynarodowe zobowiązania</w:t>
      </w:r>
      <w:r w:rsidR="005870CC" w:rsidRPr="0023252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Rzecz</w:t>
      </w:r>
      <w:r w:rsidR="008B0FFF">
        <w:rPr>
          <w:rFonts w:ascii="Times New Roman" w:eastAsia="Times New Roman" w:hAnsi="Times New Roman" w:cs="Times New Roman"/>
          <w:sz w:val="24"/>
          <w:szCs w:val="24"/>
          <w:lang w:eastAsia="pl-PL"/>
        </w:rPr>
        <w:t>y</w:t>
      </w:r>
      <w:r w:rsidR="005870CC" w:rsidRPr="0023252C">
        <w:rPr>
          <w:rFonts w:ascii="Times New Roman" w:eastAsia="Times New Roman" w:hAnsi="Times New Roman" w:cs="Times New Roman"/>
          <w:sz w:val="24"/>
          <w:szCs w:val="24"/>
          <w:lang w:eastAsia="pl-PL"/>
        </w:rPr>
        <w:t>pospolit</w:t>
      </w:r>
      <w:r w:rsidR="008B0FFF">
        <w:rPr>
          <w:rFonts w:ascii="Times New Roman" w:eastAsia="Times New Roman" w:hAnsi="Times New Roman" w:cs="Times New Roman"/>
          <w:sz w:val="24"/>
          <w:szCs w:val="24"/>
          <w:lang w:eastAsia="pl-PL"/>
        </w:rPr>
        <w:t>ej</w:t>
      </w:r>
      <w:r w:rsidR="005870CC" w:rsidRPr="0023252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Polsk</w:t>
      </w:r>
      <w:r w:rsidR="008B0FFF">
        <w:rPr>
          <w:rFonts w:ascii="Times New Roman" w:eastAsia="Times New Roman" w:hAnsi="Times New Roman" w:cs="Times New Roman"/>
          <w:sz w:val="24"/>
          <w:szCs w:val="24"/>
          <w:lang w:eastAsia="pl-PL"/>
        </w:rPr>
        <w:t>iej</w:t>
      </w:r>
      <w:r w:rsidR="005870CC" w:rsidRPr="0023252C">
        <w:rPr>
          <w:rFonts w:ascii="Times New Roman" w:eastAsia="Times New Roman" w:hAnsi="Times New Roman" w:cs="Times New Roman"/>
          <w:sz w:val="24"/>
          <w:szCs w:val="24"/>
          <w:lang w:eastAsia="pl-PL"/>
        </w:rPr>
        <w:t>, Sąd Najwyższy ogranicza</w:t>
      </w:r>
      <w:r w:rsidRPr="0023252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się do stwierdzenia wydania zaskarżonego orzeczenia z naruszeniem prawa oraz wskazania okoliczności, z powodu których wydał takie </w:t>
      </w:r>
      <w:r w:rsidRPr="0023252C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rozstrzygnięcie</w:t>
      </w:r>
      <w:r w:rsidR="005870CC" w:rsidRPr="0023252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</w:t>
      </w:r>
      <w:r w:rsidRPr="0023252C">
        <w:rPr>
          <w:rFonts w:ascii="Times New Roman" w:eastAsia="Times New Roman" w:hAnsi="Times New Roman" w:cs="Times New Roman"/>
          <w:sz w:val="24"/>
          <w:szCs w:val="24"/>
          <w:lang w:eastAsia="pl-PL"/>
        </w:rPr>
        <w:t>chyba że zasady lub wolności i prawa człowieka i obywatela określone w Konstytucji przemawiają za wydaniem rozstrzygnięcia, o którym mowa w art. 91.”</w:t>
      </w:r>
      <w:r w:rsidR="005870CC" w:rsidRPr="0023252C">
        <w:rPr>
          <w:rFonts w:ascii="Times New Roman" w:eastAsia="Times New Roman" w:hAnsi="Times New Roman" w:cs="Times New Roman"/>
          <w:sz w:val="24"/>
          <w:szCs w:val="24"/>
          <w:lang w:eastAsia="pl-PL"/>
        </w:rPr>
        <w:t>;</w:t>
      </w:r>
    </w:p>
    <w:p w:rsidR="00364D75" w:rsidRPr="0023252C" w:rsidRDefault="005870CC" w:rsidP="00BD40EC">
      <w:pPr>
        <w:shd w:val="clear" w:color="auto" w:fill="FFFFFF"/>
        <w:spacing w:after="120" w:line="288" w:lineRule="auto"/>
        <w:ind w:left="709" w:hanging="283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3252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3) w </w:t>
      </w:r>
      <w:r w:rsidR="00364D75" w:rsidRPr="0023252C">
        <w:rPr>
          <w:rFonts w:ascii="Times New Roman" w:eastAsia="Times New Roman" w:hAnsi="Times New Roman" w:cs="Times New Roman"/>
          <w:sz w:val="24"/>
          <w:szCs w:val="24"/>
          <w:lang w:eastAsia="pl-PL"/>
        </w:rPr>
        <w:t>art. 94 § 2 otrzymuje brzmienie:</w:t>
      </w:r>
    </w:p>
    <w:p w:rsidR="00364D75" w:rsidRPr="0023252C" w:rsidRDefault="00364D75" w:rsidP="00BD40EC">
      <w:pPr>
        <w:pStyle w:val="Akapitzlist"/>
        <w:shd w:val="clear" w:color="auto" w:fill="FFFFFF"/>
        <w:spacing w:after="120" w:line="288" w:lineRule="auto"/>
        <w:ind w:left="1134" w:hanging="142"/>
        <w:contextualSpacing w:val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3252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„§ 2. Jeżeli skarga nadzwyczajna dotyczy orzeczenia zapadłego w wyniku postępowania, w </w:t>
      </w:r>
      <w:r w:rsidR="00C81F80" w:rsidRPr="0023252C">
        <w:rPr>
          <w:rFonts w:ascii="Times New Roman" w:eastAsia="Times New Roman" w:hAnsi="Times New Roman" w:cs="Times New Roman"/>
          <w:sz w:val="24"/>
          <w:szCs w:val="24"/>
          <w:lang w:eastAsia="pl-PL"/>
        </w:rPr>
        <w:t>którego toku</w:t>
      </w:r>
      <w:r w:rsidRPr="0023252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orzeczenie wydał Sąd Najwyższy, sprawę rozpoznaje Sąd Najwyższy w składzie 5 sędziów Sądu Najwyższego orzekających w Izbie Kontroli Nadzwyczajnej i Spraw Publicznych oraz 2 ławników Sądu Najwyższego.”</w:t>
      </w:r>
      <w:r w:rsidR="00C81F80" w:rsidRPr="0023252C">
        <w:rPr>
          <w:rFonts w:ascii="Times New Roman" w:eastAsia="Times New Roman" w:hAnsi="Times New Roman" w:cs="Times New Roman"/>
          <w:sz w:val="24"/>
          <w:szCs w:val="24"/>
          <w:lang w:eastAsia="pl-PL"/>
        </w:rPr>
        <w:t>;</w:t>
      </w:r>
    </w:p>
    <w:p w:rsidR="005E0869" w:rsidRPr="0023252C" w:rsidRDefault="00C81F80" w:rsidP="00BD40EC">
      <w:pPr>
        <w:pStyle w:val="Akapitzlist"/>
        <w:shd w:val="clear" w:color="auto" w:fill="FFFFFF"/>
        <w:tabs>
          <w:tab w:val="left" w:pos="426"/>
        </w:tabs>
        <w:spacing w:after="120" w:line="288" w:lineRule="auto"/>
        <w:ind w:left="709" w:hanging="283"/>
        <w:contextualSpacing w:val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3252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4) </w:t>
      </w:r>
      <w:r w:rsidR="005E0869" w:rsidRPr="0023252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</w:t>
      </w:r>
      <w:r w:rsidR="00364D75" w:rsidRPr="0023252C">
        <w:rPr>
          <w:rFonts w:ascii="Times New Roman" w:eastAsia="Times New Roman" w:hAnsi="Times New Roman" w:cs="Times New Roman"/>
          <w:sz w:val="24"/>
          <w:szCs w:val="24"/>
          <w:lang w:eastAsia="pl-PL"/>
        </w:rPr>
        <w:t>art. 115</w:t>
      </w:r>
      <w:r w:rsidR="005E0869" w:rsidRPr="0023252C">
        <w:rPr>
          <w:rFonts w:ascii="Times New Roman" w:eastAsia="Times New Roman" w:hAnsi="Times New Roman" w:cs="Times New Roman"/>
          <w:sz w:val="24"/>
          <w:szCs w:val="24"/>
          <w:lang w:eastAsia="pl-PL"/>
        </w:rPr>
        <w:t>:</w:t>
      </w:r>
    </w:p>
    <w:p w:rsidR="00364D75" w:rsidRPr="0023252C" w:rsidRDefault="005E0869" w:rsidP="00BD40EC">
      <w:pPr>
        <w:pStyle w:val="Akapitzlist"/>
        <w:shd w:val="clear" w:color="auto" w:fill="FFFFFF"/>
        <w:tabs>
          <w:tab w:val="left" w:pos="426"/>
        </w:tabs>
        <w:spacing w:after="120" w:line="288" w:lineRule="auto"/>
        <w:ind w:left="993" w:hanging="284"/>
        <w:contextualSpacing w:val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3252C">
        <w:rPr>
          <w:rFonts w:ascii="Times New Roman" w:eastAsia="Times New Roman" w:hAnsi="Times New Roman" w:cs="Times New Roman"/>
          <w:sz w:val="24"/>
          <w:szCs w:val="24"/>
          <w:lang w:eastAsia="pl-PL"/>
        </w:rPr>
        <w:t>a) po § 1 dodaje się § 1a w brzmieniu</w:t>
      </w:r>
      <w:r w:rsidR="00364D75" w:rsidRPr="0023252C">
        <w:rPr>
          <w:rFonts w:ascii="Times New Roman" w:eastAsia="Times New Roman" w:hAnsi="Times New Roman" w:cs="Times New Roman"/>
          <w:sz w:val="24"/>
          <w:szCs w:val="24"/>
          <w:lang w:eastAsia="pl-PL"/>
        </w:rPr>
        <w:t>:</w:t>
      </w:r>
    </w:p>
    <w:p w:rsidR="00C81F80" w:rsidRPr="0023252C" w:rsidRDefault="00364D75" w:rsidP="00BD40EC">
      <w:pPr>
        <w:pStyle w:val="Akapitzlist"/>
        <w:shd w:val="clear" w:color="auto" w:fill="FFFFFF"/>
        <w:spacing w:after="120" w:line="288" w:lineRule="auto"/>
        <w:ind w:left="1134" w:hanging="141"/>
        <w:contextualSpacing w:val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3252C">
        <w:rPr>
          <w:rFonts w:ascii="Times New Roman" w:eastAsia="Times New Roman" w:hAnsi="Times New Roman" w:cs="Times New Roman"/>
          <w:sz w:val="24"/>
          <w:szCs w:val="24"/>
          <w:lang w:eastAsia="pl-PL"/>
        </w:rPr>
        <w:t>„</w:t>
      </w:r>
      <w:r w:rsidR="005E0869" w:rsidRPr="0023252C">
        <w:rPr>
          <w:rFonts w:ascii="Times New Roman" w:eastAsia="Times New Roman" w:hAnsi="Times New Roman" w:cs="Times New Roman"/>
          <w:sz w:val="24"/>
          <w:szCs w:val="24"/>
          <w:lang w:eastAsia="pl-PL"/>
        </w:rPr>
        <w:t>§ 1a</w:t>
      </w:r>
      <w:r w:rsidRPr="0023252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 </w:t>
      </w:r>
      <w:r w:rsidR="00C81F80" w:rsidRPr="0023252C">
        <w:rPr>
          <w:rFonts w:ascii="Times New Roman" w:eastAsia="Times New Roman" w:hAnsi="Times New Roman" w:cs="Times New Roman"/>
          <w:sz w:val="24"/>
          <w:szCs w:val="24"/>
          <w:lang w:eastAsia="pl-PL"/>
        </w:rPr>
        <w:t>Skarga nadzwyczajna od prawomocnego orzeczenia kończącego postępowanie w sprawie, które uprawomocniło się przed wejściem niniejszej ustawy w życie</w:t>
      </w:r>
      <w:r w:rsidR="00813C10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  <w:r w:rsidR="00C81F80" w:rsidRPr="0023252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może być wniesiona przez Prokuratora Generalnego </w:t>
      </w:r>
      <w:r w:rsidR="00C81F80" w:rsidRPr="001F7A9C">
        <w:rPr>
          <w:rFonts w:ascii="Times New Roman" w:eastAsia="Times New Roman" w:hAnsi="Times New Roman" w:cs="Times New Roman"/>
          <w:sz w:val="24"/>
          <w:szCs w:val="24"/>
          <w:lang w:eastAsia="pl-PL"/>
        </w:rPr>
        <w:t>lub</w:t>
      </w:r>
      <w:r w:rsidR="00C81F80" w:rsidRPr="0023252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Rzecznika Praw Obywatelskich. Przepisu art. 89 § 2</w:t>
      </w:r>
      <w:r w:rsidR="005E0869" w:rsidRPr="0023252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nie stosuje się.”,</w:t>
      </w:r>
    </w:p>
    <w:p w:rsidR="005E0869" w:rsidRPr="0023252C" w:rsidRDefault="005E0869" w:rsidP="00BD40EC">
      <w:pPr>
        <w:shd w:val="clear" w:color="auto" w:fill="FFFFFF"/>
        <w:spacing w:after="120" w:line="288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3252C">
        <w:rPr>
          <w:rFonts w:ascii="Times New Roman" w:eastAsia="Times New Roman" w:hAnsi="Times New Roman" w:cs="Times New Roman"/>
          <w:sz w:val="24"/>
          <w:szCs w:val="24"/>
          <w:lang w:eastAsia="pl-PL"/>
        </w:rPr>
        <w:t>b) § 2 otrzymuje brzmienie:</w:t>
      </w:r>
    </w:p>
    <w:p w:rsidR="00364D75" w:rsidRDefault="005E0869" w:rsidP="00BD40EC">
      <w:pPr>
        <w:pStyle w:val="Akapitzlist"/>
        <w:shd w:val="clear" w:color="auto" w:fill="FFFFFF"/>
        <w:spacing w:after="120" w:line="288" w:lineRule="auto"/>
        <w:ind w:left="1134"/>
        <w:contextualSpacing w:val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3252C">
        <w:rPr>
          <w:rFonts w:ascii="Times New Roman" w:eastAsia="Times New Roman" w:hAnsi="Times New Roman" w:cs="Times New Roman"/>
          <w:sz w:val="24"/>
          <w:szCs w:val="24"/>
          <w:lang w:eastAsia="pl-PL"/>
        </w:rPr>
        <w:t>„§ 2</w:t>
      </w:r>
      <w:r w:rsidR="00C81F80" w:rsidRPr="0023252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 </w:t>
      </w:r>
      <w:r w:rsidR="00364D75" w:rsidRPr="0023252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Jeżeli zachodzą przesłanki wskazane w art. 89 § 1, </w:t>
      </w:r>
      <w:r w:rsidR="00C81F80" w:rsidRPr="0023252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a zaskarżone orzeczenie wywołało nieodwracalne skutki prawne, w szczególności jeśli od daty uprawomocnienia się zaskarżonego orzeczenia upłynęło 5 lat, </w:t>
      </w:r>
      <w:r w:rsidR="00C219EA" w:rsidRPr="0023252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a także jeśli uchylenie orzeczenia naruszyłoby </w:t>
      </w:r>
      <w:r w:rsidR="00C219EA">
        <w:rPr>
          <w:rFonts w:ascii="Times New Roman" w:eastAsia="Times New Roman" w:hAnsi="Times New Roman" w:cs="Times New Roman"/>
          <w:sz w:val="24"/>
          <w:szCs w:val="24"/>
          <w:lang w:eastAsia="pl-PL"/>
        </w:rPr>
        <w:t>międzynarodowe zobowiązania</w:t>
      </w:r>
      <w:r w:rsidR="00C219EA" w:rsidRPr="0023252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Rzecz</w:t>
      </w:r>
      <w:r w:rsidR="00C219EA">
        <w:rPr>
          <w:rFonts w:ascii="Times New Roman" w:eastAsia="Times New Roman" w:hAnsi="Times New Roman" w:cs="Times New Roman"/>
          <w:sz w:val="24"/>
          <w:szCs w:val="24"/>
          <w:lang w:eastAsia="pl-PL"/>
        </w:rPr>
        <w:t>y</w:t>
      </w:r>
      <w:r w:rsidR="00C219EA" w:rsidRPr="0023252C">
        <w:rPr>
          <w:rFonts w:ascii="Times New Roman" w:eastAsia="Times New Roman" w:hAnsi="Times New Roman" w:cs="Times New Roman"/>
          <w:sz w:val="24"/>
          <w:szCs w:val="24"/>
          <w:lang w:eastAsia="pl-PL"/>
        </w:rPr>
        <w:t>pospolit</w:t>
      </w:r>
      <w:r w:rsidR="00C219EA">
        <w:rPr>
          <w:rFonts w:ascii="Times New Roman" w:eastAsia="Times New Roman" w:hAnsi="Times New Roman" w:cs="Times New Roman"/>
          <w:sz w:val="24"/>
          <w:szCs w:val="24"/>
          <w:lang w:eastAsia="pl-PL"/>
        </w:rPr>
        <w:t>ej</w:t>
      </w:r>
      <w:r w:rsidR="00C219EA" w:rsidRPr="0023252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Polsk</w:t>
      </w:r>
      <w:r w:rsidR="00C219EA">
        <w:rPr>
          <w:rFonts w:ascii="Times New Roman" w:eastAsia="Times New Roman" w:hAnsi="Times New Roman" w:cs="Times New Roman"/>
          <w:sz w:val="24"/>
          <w:szCs w:val="24"/>
          <w:lang w:eastAsia="pl-PL"/>
        </w:rPr>
        <w:t>iej</w:t>
      </w:r>
      <w:r w:rsidR="00C81F80" w:rsidRPr="0023252C">
        <w:rPr>
          <w:rFonts w:ascii="Times New Roman" w:eastAsia="Times New Roman" w:hAnsi="Times New Roman" w:cs="Times New Roman"/>
          <w:sz w:val="24"/>
          <w:szCs w:val="24"/>
          <w:lang w:eastAsia="pl-PL"/>
        </w:rPr>
        <w:t>, Sąd Najwyższy ogranicza się do stwierdzenia wydania zaskarżonego orzeczenia z</w:t>
      </w:r>
      <w:r w:rsidR="00813C1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C81F80" w:rsidRPr="0023252C">
        <w:rPr>
          <w:rFonts w:ascii="Times New Roman" w:eastAsia="Times New Roman" w:hAnsi="Times New Roman" w:cs="Times New Roman"/>
          <w:sz w:val="24"/>
          <w:szCs w:val="24"/>
          <w:lang w:eastAsia="pl-PL"/>
        </w:rPr>
        <w:t>naruszeniem prawa oraz wskazania okoliczności, z powodu których wydał takie rozstrzygnięcie, chyba że zasady lub wolności i prawa człowieka i obywatela określone w Konstytucji przemawiają za wydaniem rozstrzygnięcia, o którym mowa w art. 91.</w:t>
      </w:r>
      <w:r w:rsidR="00364D75" w:rsidRPr="0023252C">
        <w:rPr>
          <w:rFonts w:ascii="Times New Roman" w:eastAsia="Times New Roman" w:hAnsi="Times New Roman" w:cs="Times New Roman"/>
          <w:sz w:val="24"/>
          <w:szCs w:val="24"/>
          <w:lang w:eastAsia="pl-PL"/>
        </w:rPr>
        <w:t>”</w:t>
      </w:r>
      <w:r w:rsidR="00933133" w:rsidRPr="0023252C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:rsidR="00BB18D3" w:rsidRPr="0023252C" w:rsidRDefault="00BB18D3" w:rsidP="00BD40EC">
      <w:pPr>
        <w:pStyle w:val="Akapitzlist"/>
        <w:shd w:val="clear" w:color="auto" w:fill="FFFFFF"/>
        <w:spacing w:after="120" w:line="288" w:lineRule="auto"/>
        <w:ind w:left="1134"/>
        <w:contextualSpacing w:val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364D75" w:rsidRPr="0023252C" w:rsidRDefault="00364D75" w:rsidP="00BD40EC">
      <w:pPr>
        <w:pStyle w:val="Akapitzlist"/>
        <w:shd w:val="clear" w:color="auto" w:fill="FFFFFF"/>
        <w:spacing w:after="120" w:line="288" w:lineRule="auto"/>
        <w:ind w:left="0"/>
        <w:contextualSpacing w:val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3252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Art. 2. </w:t>
      </w:r>
      <w:r w:rsidRPr="0023252C">
        <w:rPr>
          <w:rFonts w:ascii="Times New Roman" w:eastAsia="Times New Roman" w:hAnsi="Times New Roman" w:cs="Times New Roman"/>
          <w:sz w:val="24"/>
          <w:szCs w:val="24"/>
          <w:lang w:eastAsia="pl-PL"/>
        </w:rPr>
        <w:t>W ustawie z dnia 27 lipca 2001 r. – Prawo o ustroju sądów powszechnych</w:t>
      </w:r>
      <w:r w:rsidR="00BB18D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(Dz. U. z 2018 r.</w:t>
      </w:r>
      <w:r w:rsidR="003B6862" w:rsidRPr="0023252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poz. 23</w:t>
      </w:r>
      <w:r w:rsidR="00F32869">
        <w:rPr>
          <w:rFonts w:ascii="Times New Roman" w:eastAsia="Times New Roman" w:hAnsi="Times New Roman" w:cs="Times New Roman"/>
          <w:sz w:val="24"/>
          <w:szCs w:val="24"/>
          <w:lang w:eastAsia="pl-PL"/>
        </w:rPr>
        <w:t>, 106, 138</w:t>
      </w:r>
      <w:r w:rsidR="003B6862" w:rsidRPr="0023252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i 771)</w:t>
      </w:r>
      <w:r w:rsidRPr="0023252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wprowadza się następujące zmiany:</w:t>
      </w:r>
    </w:p>
    <w:p w:rsidR="00364D75" w:rsidRPr="0023252C" w:rsidRDefault="00364D75" w:rsidP="00BD40EC">
      <w:pPr>
        <w:pStyle w:val="Akapitzlist"/>
        <w:numPr>
          <w:ilvl w:val="0"/>
          <w:numId w:val="3"/>
        </w:numPr>
        <w:tabs>
          <w:tab w:val="left" w:pos="851"/>
        </w:tabs>
        <w:spacing w:after="120" w:line="288" w:lineRule="auto"/>
        <w:ind w:left="709" w:hanging="283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23252C">
        <w:rPr>
          <w:rFonts w:ascii="Times New Roman" w:hAnsi="Times New Roman" w:cs="Times New Roman"/>
          <w:sz w:val="24"/>
          <w:szCs w:val="24"/>
        </w:rPr>
        <w:t>w art. 106i:</w:t>
      </w:r>
    </w:p>
    <w:p w:rsidR="00364D75" w:rsidRPr="0023252C" w:rsidRDefault="00364D75" w:rsidP="00BD40EC">
      <w:pPr>
        <w:pStyle w:val="Akapitzlist"/>
        <w:numPr>
          <w:ilvl w:val="1"/>
          <w:numId w:val="3"/>
        </w:numPr>
        <w:tabs>
          <w:tab w:val="left" w:pos="1134"/>
        </w:tabs>
        <w:spacing w:after="120" w:line="288" w:lineRule="auto"/>
        <w:ind w:left="993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23252C">
        <w:rPr>
          <w:rFonts w:ascii="Times New Roman" w:hAnsi="Times New Roman" w:cs="Times New Roman"/>
          <w:sz w:val="24"/>
          <w:szCs w:val="24"/>
        </w:rPr>
        <w:t>§ 1 otrzymuje brzmienie:</w:t>
      </w:r>
    </w:p>
    <w:p w:rsidR="00364D75" w:rsidRPr="0023252C" w:rsidRDefault="00364D75" w:rsidP="00BD40EC">
      <w:pPr>
        <w:pStyle w:val="Akapitzlist"/>
        <w:tabs>
          <w:tab w:val="left" w:pos="1134"/>
        </w:tabs>
        <w:spacing w:after="120" w:line="288" w:lineRule="auto"/>
        <w:ind w:left="993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23252C">
        <w:rPr>
          <w:rFonts w:ascii="Times New Roman" w:hAnsi="Times New Roman" w:cs="Times New Roman"/>
          <w:sz w:val="24"/>
          <w:szCs w:val="24"/>
        </w:rPr>
        <w:t>„§ 1. Asesorów sądowych mianuje Prezydent Rzeczypospolitej Polskiej na czas nieokreślony, na wniosek Krajowej Rady Sądownictwa.”</w:t>
      </w:r>
      <w:r w:rsidR="008B2B7F" w:rsidRPr="0023252C">
        <w:rPr>
          <w:rFonts w:ascii="Times New Roman" w:hAnsi="Times New Roman" w:cs="Times New Roman"/>
          <w:sz w:val="24"/>
          <w:szCs w:val="24"/>
        </w:rPr>
        <w:t>,</w:t>
      </w:r>
    </w:p>
    <w:p w:rsidR="00364D75" w:rsidRPr="0023252C" w:rsidRDefault="00364D75" w:rsidP="00BD40EC">
      <w:pPr>
        <w:pStyle w:val="Akapitzlist"/>
        <w:numPr>
          <w:ilvl w:val="1"/>
          <w:numId w:val="3"/>
        </w:numPr>
        <w:tabs>
          <w:tab w:val="left" w:pos="1134"/>
        </w:tabs>
        <w:spacing w:after="120" w:line="288" w:lineRule="auto"/>
        <w:ind w:left="993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23252C">
        <w:rPr>
          <w:rFonts w:ascii="Times New Roman" w:hAnsi="Times New Roman" w:cs="Times New Roman"/>
          <w:sz w:val="24"/>
          <w:szCs w:val="24"/>
        </w:rPr>
        <w:t>użyte w § 2 i 3 w różnym przypadku wyrazy „Minister Sprawiedliwości” zastępuje się użytymi w odpowiednim przypadku wyrazami „Prezydent Rzeczypospolitej Polskiej”</w:t>
      </w:r>
      <w:r w:rsidR="008B2B7F" w:rsidRPr="0023252C">
        <w:rPr>
          <w:rFonts w:ascii="Times New Roman" w:hAnsi="Times New Roman" w:cs="Times New Roman"/>
          <w:sz w:val="24"/>
          <w:szCs w:val="24"/>
        </w:rPr>
        <w:t>,</w:t>
      </w:r>
    </w:p>
    <w:p w:rsidR="00364D75" w:rsidRPr="0023252C" w:rsidRDefault="008B2B7F" w:rsidP="00BD40EC">
      <w:pPr>
        <w:pStyle w:val="Akapitzlist"/>
        <w:numPr>
          <w:ilvl w:val="1"/>
          <w:numId w:val="3"/>
        </w:numPr>
        <w:tabs>
          <w:tab w:val="left" w:pos="1134"/>
        </w:tabs>
        <w:spacing w:after="120" w:line="288" w:lineRule="auto"/>
        <w:ind w:left="993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23252C">
        <w:rPr>
          <w:rFonts w:ascii="Times New Roman" w:hAnsi="Times New Roman" w:cs="Times New Roman"/>
          <w:sz w:val="24"/>
          <w:szCs w:val="24"/>
        </w:rPr>
        <w:t>uchyla się § 7,</w:t>
      </w:r>
    </w:p>
    <w:p w:rsidR="00364D75" w:rsidRPr="0023252C" w:rsidRDefault="00364D75" w:rsidP="00BD40EC">
      <w:pPr>
        <w:pStyle w:val="Akapitzlist"/>
        <w:numPr>
          <w:ilvl w:val="1"/>
          <w:numId w:val="3"/>
        </w:numPr>
        <w:tabs>
          <w:tab w:val="left" w:pos="1134"/>
        </w:tabs>
        <w:spacing w:after="120" w:line="288" w:lineRule="auto"/>
        <w:ind w:left="993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23252C">
        <w:rPr>
          <w:rFonts w:ascii="Times New Roman" w:hAnsi="Times New Roman" w:cs="Times New Roman"/>
          <w:sz w:val="24"/>
          <w:szCs w:val="24"/>
        </w:rPr>
        <w:t>§ 8 otrzymuje brzmienie:</w:t>
      </w:r>
    </w:p>
    <w:p w:rsidR="00364D75" w:rsidRPr="0023252C" w:rsidRDefault="00364D75" w:rsidP="00BD40EC">
      <w:pPr>
        <w:pStyle w:val="Akapitzlist"/>
        <w:tabs>
          <w:tab w:val="left" w:pos="1134"/>
        </w:tabs>
        <w:spacing w:after="120" w:line="288" w:lineRule="auto"/>
        <w:ind w:left="993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23252C">
        <w:rPr>
          <w:rFonts w:ascii="Times New Roman" w:hAnsi="Times New Roman" w:cs="Times New Roman"/>
          <w:sz w:val="24"/>
          <w:szCs w:val="24"/>
        </w:rPr>
        <w:lastRenderedPageBreak/>
        <w:t>„§ 8. Asesor sądowy pełni obowiązki sędziego przez okres 4 lat od dnia objęcia stanowiska asesorskiego.”</w:t>
      </w:r>
      <w:r w:rsidR="008B2B7F" w:rsidRPr="0023252C">
        <w:rPr>
          <w:rFonts w:ascii="Times New Roman" w:hAnsi="Times New Roman" w:cs="Times New Roman"/>
          <w:sz w:val="24"/>
          <w:szCs w:val="24"/>
        </w:rPr>
        <w:t>,</w:t>
      </w:r>
    </w:p>
    <w:p w:rsidR="00364D75" w:rsidRPr="0023252C" w:rsidRDefault="00364D75" w:rsidP="00BD40EC">
      <w:pPr>
        <w:pStyle w:val="Akapitzlist"/>
        <w:numPr>
          <w:ilvl w:val="1"/>
          <w:numId w:val="3"/>
        </w:numPr>
        <w:tabs>
          <w:tab w:val="left" w:pos="851"/>
        </w:tabs>
        <w:spacing w:after="120" w:line="288" w:lineRule="auto"/>
        <w:ind w:left="993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23252C">
        <w:rPr>
          <w:rFonts w:ascii="Times New Roman" w:hAnsi="Times New Roman" w:cs="Times New Roman"/>
          <w:sz w:val="24"/>
          <w:szCs w:val="24"/>
        </w:rPr>
        <w:t>uchyla się § 9;</w:t>
      </w:r>
    </w:p>
    <w:p w:rsidR="00364D75" w:rsidRDefault="00364D75" w:rsidP="00BD40EC">
      <w:pPr>
        <w:pStyle w:val="Akapitzlist"/>
        <w:numPr>
          <w:ilvl w:val="0"/>
          <w:numId w:val="3"/>
        </w:numPr>
        <w:tabs>
          <w:tab w:val="left" w:pos="709"/>
        </w:tabs>
        <w:spacing w:after="120" w:line="288" w:lineRule="auto"/>
        <w:ind w:left="709" w:hanging="283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23252C">
        <w:rPr>
          <w:rFonts w:ascii="Times New Roman" w:hAnsi="Times New Roman" w:cs="Times New Roman"/>
          <w:sz w:val="24"/>
          <w:szCs w:val="24"/>
        </w:rPr>
        <w:t>w art. 106k w § 2 uchyla się pkt 1.</w:t>
      </w:r>
    </w:p>
    <w:p w:rsidR="00BB18D3" w:rsidRPr="0023252C" w:rsidRDefault="00BB18D3" w:rsidP="00BB18D3">
      <w:pPr>
        <w:pStyle w:val="Akapitzlist"/>
        <w:tabs>
          <w:tab w:val="left" w:pos="709"/>
        </w:tabs>
        <w:spacing w:after="120" w:line="288" w:lineRule="auto"/>
        <w:ind w:left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</w:p>
    <w:p w:rsidR="00364D75" w:rsidRPr="0023252C" w:rsidRDefault="00364D75" w:rsidP="00BD40EC">
      <w:pPr>
        <w:pStyle w:val="Akapitzlist"/>
        <w:shd w:val="clear" w:color="auto" w:fill="FFFFFF"/>
        <w:spacing w:after="120" w:line="288" w:lineRule="auto"/>
        <w:ind w:left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23252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Art. 3. </w:t>
      </w:r>
      <w:r w:rsidRPr="0023252C">
        <w:rPr>
          <w:rFonts w:ascii="Times New Roman" w:hAnsi="Times New Roman" w:cs="Times New Roman"/>
          <w:sz w:val="24"/>
          <w:szCs w:val="24"/>
        </w:rPr>
        <w:t xml:space="preserve">W ustawie z dnia 23 stycznia 2009 r. </w:t>
      </w:r>
      <w:r w:rsidR="00BB18D3">
        <w:rPr>
          <w:rFonts w:ascii="Times New Roman" w:hAnsi="Times New Roman" w:cs="Times New Roman"/>
          <w:sz w:val="24"/>
          <w:szCs w:val="24"/>
        </w:rPr>
        <w:t xml:space="preserve">o Krajowej Szkole Sądownictwa i </w:t>
      </w:r>
      <w:r w:rsidRPr="0023252C">
        <w:rPr>
          <w:rFonts w:ascii="Times New Roman" w:hAnsi="Times New Roman" w:cs="Times New Roman"/>
          <w:sz w:val="24"/>
          <w:szCs w:val="24"/>
        </w:rPr>
        <w:t>Prokuratury (Dz. U. z</w:t>
      </w:r>
      <w:r w:rsidR="00BB18D3">
        <w:rPr>
          <w:rFonts w:ascii="Times New Roman" w:hAnsi="Times New Roman" w:cs="Times New Roman"/>
          <w:sz w:val="24"/>
          <w:szCs w:val="24"/>
        </w:rPr>
        <w:t xml:space="preserve"> </w:t>
      </w:r>
      <w:r w:rsidRPr="0023252C">
        <w:rPr>
          <w:rFonts w:ascii="Times New Roman" w:hAnsi="Times New Roman" w:cs="Times New Roman"/>
          <w:sz w:val="24"/>
          <w:szCs w:val="24"/>
        </w:rPr>
        <w:t>2018 r. poz. 624) wprowadza się następujące zmiany:</w:t>
      </w:r>
    </w:p>
    <w:p w:rsidR="00364D75" w:rsidRPr="0023252C" w:rsidRDefault="00364D75" w:rsidP="00BD40EC">
      <w:pPr>
        <w:pStyle w:val="Akapitzlist"/>
        <w:numPr>
          <w:ilvl w:val="0"/>
          <w:numId w:val="4"/>
        </w:numPr>
        <w:tabs>
          <w:tab w:val="left" w:pos="1134"/>
        </w:tabs>
        <w:spacing w:after="120" w:line="288" w:lineRule="auto"/>
        <w:ind w:left="709" w:hanging="283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23252C">
        <w:rPr>
          <w:rFonts w:ascii="Times New Roman" w:hAnsi="Times New Roman" w:cs="Times New Roman"/>
          <w:sz w:val="24"/>
          <w:szCs w:val="24"/>
        </w:rPr>
        <w:t>w art. 33a:</w:t>
      </w:r>
    </w:p>
    <w:p w:rsidR="00364D75" w:rsidRPr="0023252C" w:rsidRDefault="00364D75" w:rsidP="00BD40EC">
      <w:pPr>
        <w:pStyle w:val="Akapitzlist"/>
        <w:numPr>
          <w:ilvl w:val="1"/>
          <w:numId w:val="4"/>
        </w:numPr>
        <w:tabs>
          <w:tab w:val="left" w:pos="1134"/>
        </w:tabs>
        <w:spacing w:after="120" w:line="288" w:lineRule="auto"/>
        <w:ind w:left="993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23252C">
        <w:rPr>
          <w:rFonts w:ascii="Times New Roman" w:hAnsi="Times New Roman" w:cs="Times New Roman"/>
          <w:sz w:val="24"/>
          <w:szCs w:val="24"/>
        </w:rPr>
        <w:t>ust. 11 otrzymuje brzmienie:</w:t>
      </w:r>
    </w:p>
    <w:p w:rsidR="00364D75" w:rsidRPr="0023252C" w:rsidRDefault="00364D75" w:rsidP="00BD40EC">
      <w:pPr>
        <w:pStyle w:val="Akapitzlist"/>
        <w:tabs>
          <w:tab w:val="left" w:pos="1134"/>
        </w:tabs>
        <w:spacing w:after="120" w:line="288" w:lineRule="auto"/>
        <w:ind w:left="993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23252C">
        <w:rPr>
          <w:rFonts w:ascii="Times New Roman" w:hAnsi="Times New Roman" w:cs="Times New Roman"/>
          <w:sz w:val="24"/>
          <w:szCs w:val="24"/>
        </w:rPr>
        <w:t>„11. Dyrektor Krajowej Szkoły przedstawia Krajowej Radzie Sądownictwa listę, o której mowa w ust. 1, wskazując wybrane przez poszczególnych aplikantów stanowiska asesorskie. Do tej listy Dyrektor Krajowej Szkoły dołącza uzyskane o każdym z aplikantów informacje, o których mowa w art. 32a ust. 1.”</w:t>
      </w:r>
      <w:r w:rsidR="003B6862" w:rsidRPr="0023252C">
        <w:rPr>
          <w:rFonts w:ascii="Times New Roman" w:hAnsi="Times New Roman" w:cs="Times New Roman"/>
          <w:sz w:val="24"/>
          <w:szCs w:val="24"/>
        </w:rPr>
        <w:t>,</w:t>
      </w:r>
    </w:p>
    <w:p w:rsidR="00364D75" w:rsidRPr="0023252C" w:rsidRDefault="00364D75" w:rsidP="00BD40EC">
      <w:pPr>
        <w:pStyle w:val="Akapitzlist"/>
        <w:numPr>
          <w:ilvl w:val="1"/>
          <w:numId w:val="4"/>
        </w:numPr>
        <w:tabs>
          <w:tab w:val="left" w:pos="1560"/>
        </w:tabs>
        <w:spacing w:after="120" w:line="288" w:lineRule="auto"/>
        <w:ind w:left="993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23252C">
        <w:rPr>
          <w:rFonts w:ascii="Times New Roman" w:hAnsi="Times New Roman" w:cs="Times New Roman"/>
          <w:sz w:val="24"/>
          <w:szCs w:val="24"/>
        </w:rPr>
        <w:t>dodaje się ust. 14 i 15 w brzmieniu:</w:t>
      </w:r>
    </w:p>
    <w:p w:rsidR="00364D75" w:rsidRPr="0023252C" w:rsidRDefault="00364D75" w:rsidP="00BD40EC">
      <w:pPr>
        <w:pStyle w:val="Akapitzlist"/>
        <w:tabs>
          <w:tab w:val="left" w:pos="1560"/>
        </w:tabs>
        <w:spacing w:after="120" w:line="288" w:lineRule="auto"/>
        <w:ind w:left="993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23252C">
        <w:rPr>
          <w:rFonts w:ascii="Times New Roman" w:hAnsi="Times New Roman" w:cs="Times New Roman"/>
          <w:sz w:val="24"/>
          <w:szCs w:val="24"/>
        </w:rPr>
        <w:t>„14. Krajowa Rada Sądownictwa w terminie dwóch miesięcy od dnia przedstawienia listy i informacji, o których mowa w ust. 11, może zgłosić sprzeciw wobec mianowania egzaminowanego aplikanta aplikacji sędziowskiej na asesora sądowego.</w:t>
      </w:r>
    </w:p>
    <w:p w:rsidR="00364D75" w:rsidRPr="0023252C" w:rsidRDefault="00364D75" w:rsidP="00BD40EC">
      <w:pPr>
        <w:pStyle w:val="Akapitzlist"/>
        <w:tabs>
          <w:tab w:val="left" w:pos="1560"/>
        </w:tabs>
        <w:spacing w:after="120" w:line="288" w:lineRule="auto"/>
        <w:ind w:left="993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23252C">
        <w:rPr>
          <w:rFonts w:ascii="Times New Roman" w:hAnsi="Times New Roman" w:cs="Times New Roman"/>
          <w:sz w:val="24"/>
          <w:szCs w:val="24"/>
        </w:rPr>
        <w:t>15. W przypadku braku sprzeciwu, o którym mowa w ust. 14, albo uchylenia uchwały Krajowej Rady Sądownictwa wyrażającej sprzeciw, Krajowa Rada Sądownictwa niezwłocznie przedstawia Prezydentowi Rzeczypospolitej Polskiej wniosek o mianowanie na stanowisko asesora sądowego wraz ze wskazaniem wybranego miejsca służbowego asesora sądowego.”</w:t>
      </w:r>
      <w:r w:rsidR="003B6862" w:rsidRPr="0023252C">
        <w:rPr>
          <w:rFonts w:ascii="Times New Roman" w:hAnsi="Times New Roman" w:cs="Times New Roman"/>
          <w:sz w:val="24"/>
          <w:szCs w:val="24"/>
        </w:rPr>
        <w:t>;</w:t>
      </w:r>
    </w:p>
    <w:p w:rsidR="00364D75" w:rsidRPr="0023252C" w:rsidRDefault="00364D75" w:rsidP="00BD40EC">
      <w:pPr>
        <w:pStyle w:val="Akapitzlist"/>
        <w:numPr>
          <w:ilvl w:val="0"/>
          <w:numId w:val="4"/>
        </w:numPr>
        <w:tabs>
          <w:tab w:val="left" w:pos="1134"/>
        </w:tabs>
        <w:spacing w:after="120" w:line="288" w:lineRule="auto"/>
        <w:ind w:left="709" w:hanging="283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23252C">
        <w:rPr>
          <w:rFonts w:ascii="Times New Roman" w:hAnsi="Times New Roman" w:cs="Times New Roman"/>
          <w:sz w:val="24"/>
          <w:szCs w:val="24"/>
        </w:rPr>
        <w:t>w art. 33b:</w:t>
      </w:r>
    </w:p>
    <w:p w:rsidR="00364D75" w:rsidRPr="0023252C" w:rsidRDefault="00364D75" w:rsidP="00BD40EC">
      <w:pPr>
        <w:pStyle w:val="Akapitzlist"/>
        <w:numPr>
          <w:ilvl w:val="1"/>
          <w:numId w:val="4"/>
        </w:numPr>
        <w:tabs>
          <w:tab w:val="left" w:pos="1843"/>
        </w:tabs>
        <w:spacing w:after="120" w:line="288" w:lineRule="auto"/>
        <w:ind w:left="993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23252C">
        <w:rPr>
          <w:rFonts w:ascii="Times New Roman" w:hAnsi="Times New Roman" w:cs="Times New Roman"/>
          <w:sz w:val="24"/>
          <w:szCs w:val="24"/>
        </w:rPr>
        <w:t>ust. 9 otrzymuje brzmienie:</w:t>
      </w:r>
    </w:p>
    <w:p w:rsidR="00364D75" w:rsidRPr="0023252C" w:rsidRDefault="00364D75" w:rsidP="00BD40EC">
      <w:pPr>
        <w:pStyle w:val="Akapitzlist"/>
        <w:tabs>
          <w:tab w:val="left" w:pos="1843"/>
        </w:tabs>
        <w:spacing w:after="120" w:line="288" w:lineRule="auto"/>
        <w:ind w:left="993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23252C">
        <w:rPr>
          <w:rFonts w:ascii="Times New Roman" w:hAnsi="Times New Roman" w:cs="Times New Roman"/>
          <w:sz w:val="24"/>
          <w:szCs w:val="24"/>
        </w:rPr>
        <w:t>„9. Dyrektor Krajowej Szkoły przedstawia Krajowej Radzie Sądownictwa listę, o której mowa w ust. 3, wskazując wybrane przez poszczególnych aplikantów aplikacji prokuratorskiej stanowiska asesorskie. Do tej listy Dyrektor Krajowej Szkoły dołącza uzyskane o każdym z aplikantów informacje, o których mowa w art. 32a ust. 1.”</w:t>
      </w:r>
      <w:r w:rsidR="00BB18D3">
        <w:rPr>
          <w:rFonts w:ascii="Times New Roman" w:hAnsi="Times New Roman" w:cs="Times New Roman"/>
          <w:sz w:val="24"/>
          <w:szCs w:val="24"/>
        </w:rPr>
        <w:t>,</w:t>
      </w:r>
    </w:p>
    <w:p w:rsidR="00364D75" w:rsidRPr="0023252C" w:rsidRDefault="00364D75" w:rsidP="00BD40EC">
      <w:pPr>
        <w:pStyle w:val="Akapitzlist"/>
        <w:numPr>
          <w:ilvl w:val="1"/>
          <w:numId w:val="4"/>
        </w:numPr>
        <w:tabs>
          <w:tab w:val="left" w:pos="1843"/>
        </w:tabs>
        <w:spacing w:after="120" w:line="288" w:lineRule="auto"/>
        <w:ind w:left="993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23252C">
        <w:rPr>
          <w:rFonts w:ascii="Times New Roman" w:hAnsi="Times New Roman" w:cs="Times New Roman"/>
          <w:sz w:val="24"/>
          <w:szCs w:val="24"/>
        </w:rPr>
        <w:t>dodaje się ust. 10 i 11 w brzmieniu:</w:t>
      </w:r>
    </w:p>
    <w:p w:rsidR="00364D75" w:rsidRPr="0023252C" w:rsidRDefault="00364D75" w:rsidP="00BD40EC">
      <w:pPr>
        <w:pStyle w:val="Akapitzlist"/>
        <w:tabs>
          <w:tab w:val="left" w:pos="1843"/>
        </w:tabs>
        <w:spacing w:after="120" w:line="288" w:lineRule="auto"/>
        <w:ind w:left="993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23252C">
        <w:rPr>
          <w:rFonts w:ascii="Times New Roman" w:hAnsi="Times New Roman" w:cs="Times New Roman"/>
          <w:sz w:val="24"/>
          <w:szCs w:val="24"/>
        </w:rPr>
        <w:t>„10. Krajowa Rada Sądownictwa w terminie dwóch miesięcy od dnia przedstawienia listy i informacji, o których mowa w ust. 9, może zgłosić sprzeciw wobec mianowania egzaminowanego aplikanta aplikacji prokuratorskiej na asesora sądowego.</w:t>
      </w:r>
    </w:p>
    <w:p w:rsidR="00364D75" w:rsidRDefault="00364D75" w:rsidP="00BD40EC">
      <w:pPr>
        <w:pStyle w:val="Akapitzlist"/>
        <w:tabs>
          <w:tab w:val="left" w:pos="1843"/>
        </w:tabs>
        <w:spacing w:after="120" w:line="288" w:lineRule="auto"/>
        <w:ind w:left="993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23252C">
        <w:rPr>
          <w:rFonts w:ascii="Times New Roman" w:hAnsi="Times New Roman" w:cs="Times New Roman"/>
          <w:sz w:val="24"/>
          <w:szCs w:val="24"/>
        </w:rPr>
        <w:t xml:space="preserve">11. W przypadku braku sprzeciwu, o którym mowa w ust. 10, albo uchylenia uchwały Krajowej Rady Sądownictwa wyrażającej sprzeciw, Krajowa Rada Sądownictwa </w:t>
      </w:r>
      <w:r w:rsidRPr="0023252C">
        <w:rPr>
          <w:rFonts w:ascii="Times New Roman" w:hAnsi="Times New Roman" w:cs="Times New Roman"/>
          <w:sz w:val="24"/>
          <w:szCs w:val="24"/>
        </w:rPr>
        <w:lastRenderedPageBreak/>
        <w:t>niezwłocznie przedstawia Prezydentowi Rzeczypospolitej Polskiej wniosek o mianowanie egzaminowanego aplikanta aplikacji prokuratorskiej na stanowisko asesora sądowego wraz ze wskazaniem wybranego miejsc</w:t>
      </w:r>
      <w:r w:rsidR="00090FF8" w:rsidRPr="0023252C">
        <w:rPr>
          <w:rFonts w:ascii="Times New Roman" w:hAnsi="Times New Roman" w:cs="Times New Roman"/>
          <w:sz w:val="24"/>
          <w:szCs w:val="24"/>
        </w:rPr>
        <w:t>a służbowego asesora sądowego.”.</w:t>
      </w:r>
    </w:p>
    <w:p w:rsidR="00BB18D3" w:rsidRPr="0023252C" w:rsidRDefault="00BB18D3" w:rsidP="00BD40EC">
      <w:pPr>
        <w:pStyle w:val="Akapitzlist"/>
        <w:tabs>
          <w:tab w:val="left" w:pos="1843"/>
        </w:tabs>
        <w:spacing w:after="120" w:line="288" w:lineRule="auto"/>
        <w:ind w:left="993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</w:p>
    <w:p w:rsidR="00364D75" w:rsidRPr="0023252C" w:rsidRDefault="00364D75" w:rsidP="00BD40EC">
      <w:pPr>
        <w:pStyle w:val="Akapitzlist"/>
        <w:shd w:val="clear" w:color="auto" w:fill="FFFFFF"/>
        <w:spacing w:after="120" w:line="288" w:lineRule="auto"/>
        <w:ind w:left="0"/>
        <w:contextualSpacing w:val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3252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Art. 4. </w:t>
      </w:r>
      <w:r w:rsidRPr="0023252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</w:t>
      </w:r>
      <w:r w:rsidR="00BB18D3">
        <w:rPr>
          <w:rFonts w:ascii="Times New Roman" w:eastAsia="Times New Roman" w:hAnsi="Times New Roman" w:cs="Times New Roman"/>
          <w:sz w:val="24"/>
          <w:szCs w:val="24"/>
          <w:lang w:eastAsia="pl-PL"/>
        </w:rPr>
        <w:t>ustawie z dnia 12 maja 2011 r.</w:t>
      </w:r>
      <w:r w:rsidR="000A6F1E" w:rsidRPr="0023252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 Krajowej Radzie Sądownictwa</w:t>
      </w:r>
      <w:r w:rsidR="00BB18D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(Dz. U. z 2018 r.</w:t>
      </w:r>
      <w:r w:rsidR="000A6F1E" w:rsidRPr="0023252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poz. 389) </w:t>
      </w:r>
      <w:r w:rsidRPr="0023252C">
        <w:rPr>
          <w:rFonts w:ascii="Times New Roman" w:eastAsia="Times New Roman" w:hAnsi="Times New Roman" w:cs="Times New Roman"/>
          <w:sz w:val="24"/>
          <w:szCs w:val="24"/>
          <w:lang w:eastAsia="pl-PL"/>
        </w:rPr>
        <w:t>wprowadza się następujące zmiany:</w:t>
      </w:r>
    </w:p>
    <w:p w:rsidR="00364D75" w:rsidRPr="0023252C" w:rsidRDefault="00364D75" w:rsidP="00BD40EC">
      <w:pPr>
        <w:pStyle w:val="Akapitzlist"/>
        <w:numPr>
          <w:ilvl w:val="0"/>
          <w:numId w:val="5"/>
        </w:numPr>
        <w:shd w:val="clear" w:color="auto" w:fill="FFFFFF"/>
        <w:spacing w:after="120" w:line="288" w:lineRule="auto"/>
        <w:ind w:left="0" w:firstLine="426"/>
        <w:contextualSpacing w:val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3252C">
        <w:rPr>
          <w:rFonts w:ascii="Times New Roman" w:hAnsi="Times New Roman" w:cs="Times New Roman"/>
          <w:sz w:val="24"/>
          <w:szCs w:val="24"/>
        </w:rPr>
        <w:t>w art. 3 w ust. 1 pkt 2a otrzymuje brzmienie:</w:t>
      </w:r>
    </w:p>
    <w:p w:rsidR="00364D75" w:rsidRPr="0023252C" w:rsidRDefault="00364D75" w:rsidP="00BD40EC">
      <w:pPr>
        <w:pStyle w:val="Akapitzlist"/>
        <w:shd w:val="clear" w:color="auto" w:fill="FFFFFF"/>
        <w:spacing w:after="120" w:line="288" w:lineRule="auto"/>
        <w:ind w:left="709"/>
        <w:contextualSpacing w:val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3252C">
        <w:rPr>
          <w:rFonts w:ascii="Times New Roman" w:hAnsi="Times New Roman" w:cs="Times New Roman"/>
          <w:sz w:val="24"/>
          <w:szCs w:val="24"/>
        </w:rPr>
        <w:t>„2a) przedstawianie Prezydentowi Rzeczypospolitej Polskiej wniosków o mianowanie egzaminowanych aplikantów apl</w:t>
      </w:r>
      <w:r w:rsidR="00090FF8" w:rsidRPr="0023252C">
        <w:rPr>
          <w:rFonts w:ascii="Times New Roman" w:hAnsi="Times New Roman" w:cs="Times New Roman"/>
          <w:sz w:val="24"/>
          <w:szCs w:val="24"/>
        </w:rPr>
        <w:t>ikacji sędziowskiej i aplikacji</w:t>
      </w:r>
      <w:r w:rsidRPr="0023252C">
        <w:rPr>
          <w:rFonts w:ascii="Times New Roman" w:hAnsi="Times New Roman" w:cs="Times New Roman"/>
          <w:sz w:val="24"/>
          <w:szCs w:val="24"/>
        </w:rPr>
        <w:t xml:space="preserve"> prokuratorskiej na stanowiska asesorów sądowych w sądach powszechnych;”</w:t>
      </w:r>
      <w:r w:rsidR="00090FF8" w:rsidRPr="0023252C">
        <w:rPr>
          <w:rFonts w:ascii="Times New Roman" w:hAnsi="Times New Roman" w:cs="Times New Roman"/>
          <w:sz w:val="24"/>
          <w:szCs w:val="24"/>
        </w:rPr>
        <w:t>;</w:t>
      </w:r>
    </w:p>
    <w:p w:rsidR="00364D75" w:rsidRPr="0023252C" w:rsidRDefault="00364D75" w:rsidP="00BD40EC">
      <w:pPr>
        <w:pStyle w:val="Akapitzlist"/>
        <w:numPr>
          <w:ilvl w:val="0"/>
          <w:numId w:val="5"/>
        </w:numPr>
        <w:tabs>
          <w:tab w:val="left" w:pos="1276"/>
        </w:tabs>
        <w:spacing w:after="120" w:line="288" w:lineRule="auto"/>
        <w:ind w:left="709" w:hanging="283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23252C">
        <w:rPr>
          <w:rFonts w:ascii="Times New Roman" w:hAnsi="Times New Roman" w:cs="Times New Roman"/>
          <w:sz w:val="24"/>
          <w:szCs w:val="24"/>
        </w:rPr>
        <w:t>po art. 44a dodaje się art. 44b w brzmieniu:</w:t>
      </w:r>
    </w:p>
    <w:p w:rsidR="00364D75" w:rsidRDefault="00364D75" w:rsidP="00BD40EC">
      <w:pPr>
        <w:pStyle w:val="Akapitzlist"/>
        <w:tabs>
          <w:tab w:val="left" w:pos="1276"/>
        </w:tabs>
        <w:spacing w:after="120" w:line="288" w:lineRule="auto"/>
        <w:ind w:left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23252C">
        <w:rPr>
          <w:rFonts w:ascii="Times New Roman" w:hAnsi="Times New Roman" w:cs="Times New Roman"/>
          <w:sz w:val="24"/>
          <w:szCs w:val="24"/>
        </w:rPr>
        <w:t>„Art. 44b. Rada przedstawia Prezydentowi Rzeczypospolitej Polskiej uchwałę zawierającą wniosek o mianowanie na stanowisko asesora sądowego w sądzie powszechnym wraz z uzasadnieniem. Do uchwały dołącza się dokumentację postępowania w sprawie.”</w:t>
      </w:r>
      <w:r w:rsidR="00090FF8" w:rsidRPr="0023252C">
        <w:rPr>
          <w:rFonts w:ascii="Times New Roman" w:hAnsi="Times New Roman" w:cs="Times New Roman"/>
          <w:sz w:val="24"/>
          <w:szCs w:val="24"/>
        </w:rPr>
        <w:t>.</w:t>
      </w:r>
    </w:p>
    <w:p w:rsidR="00BB18D3" w:rsidRPr="0023252C" w:rsidRDefault="00BB18D3" w:rsidP="00BD40EC">
      <w:pPr>
        <w:pStyle w:val="Akapitzlist"/>
        <w:tabs>
          <w:tab w:val="left" w:pos="1276"/>
        </w:tabs>
        <w:spacing w:after="120" w:line="288" w:lineRule="auto"/>
        <w:ind w:left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</w:p>
    <w:p w:rsidR="0095324E" w:rsidRPr="0095324E" w:rsidRDefault="00364D75" w:rsidP="00BD40EC">
      <w:pPr>
        <w:pStyle w:val="Akapitzlist"/>
        <w:shd w:val="clear" w:color="auto" w:fill="FFFFFF"/>
        <w:spacing w:after="120" w:line="288" w:lineRule="auto"/>
        <w:ind w:left="0"/>
        <w:contextualSpacing w:val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3252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Art. 5. </w:t>
      </w:r>
      <w:r w:rsidR="0095324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1. Do skarg nadzwyczajnych złożonych przed dniem wejścia w życie niniejszej ustawy stosuje się art. 89 </w:t>
      </w:r>
      <w:r w:rsidR="0095324E" w:rsidRPr="0023252C">
        <w:rPr>
          <w:rFonts w:ascii="Times New Roman" w:eastAsia="Times New Roman" w:hAnsi="Times New Roman" w:cs="Times New Roman"/>
          <w:sz w:val="24"/>
          <w:szCs w:val="24"/>
          <w:lang w:eastAsia="pl-PL"/>
        </w:rPr>
        <w:t>§</w:t>
      </w:r>
      <w:r w:rsidR="0095324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1 ustawy zmienianej w art. 1 w brzmieniu dotychczasowym. </w:t>
      </w:r>
    </w:p>
    <w:p w:rsidR="00265C9C" w:rsidRDefault="0095324E" w:rsidP="001F7A9C">
      <w:pPr>
        <w:pStyle w:val="Akapitzlist"/>
        <w:shd w:val="clear" w:color="auto" w:fill="FFFFFF"/>
        <w:spacing w:after="120" w:line="288" w:lineRule="auto"/>
        <w:ind w:left="0"/>
        <w:contextualSpacing w:val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5324E">
        <w:rPr>
          <w:rFonts w:ascii="Times New Roman" w:eastAsia="Times New Roman" w:hAnsi="Times New Roman" w:cs="Times New Roman"/>
          <w:sz w:val="24"/>
          <w:szCs w:val="24"/>
          <w:lang w:eastAsia="pl-PL"/>
        </w:rPr>
        <w:t>2.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</w:t>
      </w:r>
      <w:r w:rsidR="00265C9C" w:rsidRPr="0023252C">
        <w:rPr>
          <w:rFonts w:ascii="Times New Roman" w:eastAsia="Times New Roman" w:hAnsi="Times New Roman" w:cs="Times New Roman"/>
          <w:sz w:val="24"/>
          <w:szCs w:val="24"/>
          <w:lang w:eastAsia="pl-PL"/>
        </w:rPr>
        <w:t>Do skarg nadzwyczajnych złożonych przed dniem wejścia w życie niniejszej ustawy, art. 115 § 1a ustawy zmien</w:t>
      </w:r>
      <w:r w:rsidR="00BB18D3">
        <w:rPr>
          <w:rFonts w:ascii="Times New Roman" w:eastAsia="Times New Roman" w:hAnsi="Times New Roman" w:cs="Times New Roman"/>
          <w:sz w:val="24"/>
          <w:szCs w:val="24"/>
          <w:lang w:eastAsia="pl-PL"/>
        </w:rPr>
        <w:t>ianej w art. 1 nie stosuje się.</w:t>
      </w:r>
    </w:p>
    <w:p w:rsidR="00BB18D3" w:rsidRPr="0023252C" w:rsidRDefault="00BB18D3" w:rsidP="00BD40EC">
      <w:pPr>
        <w:pStyle w:val="Akapitzlist"/>
        <w:shd w:val="clear" w:color="auto" w:fill="FFFFFF"/>
        <w:spacing w:after="120" w:line="288" w:lineRule="auto"/>
        <w:ind w:left="0"/>
        <w:contextualSpacing w:val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265C9C" w:rsidRPr="0023252C" w:rsidRDefault="00265C9C" w:rsidP="00BD40EC">
      <w:pPr>
        <w:pStyle w:val="Akapitzlist"/>
        <w:shd w:val="clear" w:color="auto" w:fill="FFFFFF"/>
        <w:spacing w:after="120" w:line="288" w:lineRule="auto"/>
        <w:ind w:left="0"/>
        <w:contextualSpacing w:val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3252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Art. 6. </w:t>
      </w:r>
      <w:r w:rsidRPr="0023252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Ustawa wchodzi w życie po upływie 14 dni od dnia ogłoszenia. </w:t>
      </w:r>
    </w:p>
    <w:p w:rsidR="00364D75" w:rsidRDefault="00364D75" w:rsidP="00BD40EC">
      <w:pPr>
        <w:spacing w:after="120" w:line="288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23252C" w:rsidRPr="0023252C" w:rsidRDefault="0023252C" w:rsidP="00BD40EC">
      <w:pPr>
        <w:spacing w:after="120" w:line="288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CA1C0C" w:rsidRDefault="00CA1C0C" w:rsidP="00BD40EC">
      <w:pPr>
        <w:spacing w:after="120" w:line="288" w:lineRule="auto"/>
        <w:jc w:val="center"/>
        <w:rPr>
          <w:rFonts w:ascii="Times New Roman" w:eastAsia="Times New Roman" w:hAnsi="Times New Roman" w:cs="Times New Roman"/>
          <w:b/>
          <w:smallCaps/>
          <w:sz w:val="24"/>
          <w:szCs w:val="24"/>
          <w:lang w:eastAsia="pl-PL"/>
        </w:rPr>
      </w:pPr>
    </w:p>
    <w:p w:rsidR="00CA1C0C" w:rsidRDefault="00CA1C0C" w:rsidP="00BB18D3">
      <w:pPr>
        <w:spacing w:after="120" w:line="288" w:lineRule="auto"/>
        <w:rPr>
          <w:rFonts w:ascii="Times New Roman" w:eastAsia="Times New Roman" w:hAnsi="Times New Roman" w:cs="Times New Roman"/>
          <w:b/>
          <w:smallCaps/>
          <w:sz w:val="24"/>
          <w:szCs w:val="24"/>
          <w:lang w:eastAsia="pl-PL"/>
        </w:rPr>
      </w:pPr>
    </w:p>
    <w:p w:rsidR="00CA1C0C" w:rsidRDefault="00CA1C0C" w:rsidP="00BD40EC">
      <w:pPr>
        <w:spacing w:after="120" w:line="288" w:lineRule="auto"/>
        <w:jc w:val="center"/>
        <w:rPr>
          <w:rFonts w:ascii="Times New Roman" w:eastAsia="Times New Roman" w:hAnsi="Times New Roman" w:cs="Times New Roman"/>
          <w:b/>
          <w:smallCaps/>
          <w:sz w:val="24"/>
          <w:szCs w:val="24"/>
          <w:lang w:eastAsia="pl-PL"/>
        </w:rPr>
      </w:pPr>
    </w:p>
    <w:p w:rsidR="00CA1C0C" w:rsidRDefault="00CA1C0C" w:rsidP="00BD40EC">
      <w:pPr>
        <w:spacing w:after="120" w:line="288" w:lineRule="auto"/>
        <w:jc w:val="center"/>
        <w:rPr>
          <w:rFonts w:ascii="Times New Roman" w:eastAsia="Times New Roman" w:hAnsi="Times New Roman" w:cs="Times New Roman"/>
          <w:b/>
          <w:smallCaps/>
          <w:sz w:val="24"/>
          <w:szCs w:val="24"/>
          <w:lang w:eastAsia="pl-PL"/>
        </w:rPr>
      </w:pPr>
    </w:p>
    <w:p w:rsidR="00CA1C0C" w:rsidRDefault="00CA1C0C" w:rsidP="00BD40EC">
      <w:pPr>
        <w:spacing w:after="120" w:line="288" w:lineRule="auto"/>
        <w:jc w:val="center"/>
        <w:rPr>
          <w:rFonts w:ascii="Times New Roman" w:eastAsia="Times New Roman" w:hAnsi="Times New Roman" w:cs="Times New Roman"/>
          <w:b/>
          <w:smallCaps/>
          <w:sz w:val="24"/>
          <w:szCs w:val="24"/>
          <w:lang w:eastAsia="pl-PL"/>
        </w:rPr>
      </w:pPr>
    </w:p>
    <w:p w:rsidR="00CA1C0C" w:rsidRDefault="00CA1C0C" w:rsidP="00BD40EC">
      <w:pPr>
        <w:spacing w:after="120" w:line="288" w:lineRule="auto"/>
        <w:jc w:val="center"/>
        <w:rPr>
          <w:rFonts w:ascii="Times New Roman" w:eastAsia="Times New Roman" w:hAnsi="Times New Roman" w:cs="Times New Roman"/>
          <w:b/>
          <w:smallCaps/>
          <w:sz w:val="24"/>
          <w:szCs w:val="24"/>
          <w:lang w:eastAsia="pl-PL"/>
        </w:rPr>
      </w:pPr>
    </w:p>
    <w:p w:rsidR="002B4F65" w:rsidRDefault="002B4F65" w:rsidP="00BD40EC">
      <w:pPr>
        <w:spacing w:after="120" w:line="288" w:lineRule="auto"/>
        <w:jc w:val="center"/>
        <w:rPr>
          <w:rFonts w:ascii="Times New Roman" w:eastAsia="Times New Roman" w:hAnsi="Times New Roman" w:cs="Times New Roman"/>
          <w:b/>
          <w:smallCaps/>
          <w:sz w:val="24"/>
          <w:szCs w:val="24"/>
          <w:lang w:eastAsia="pl-PL"/>
        </w:rPr>
      </w:pPr>
    </w:p>
    <w:p w:rsidR="002B4F65" w:rsidRDefault="002B4F65" w:rsidP="00BD40EC">
      <w:pPr>
        <w:spacing w:after="120" w:line="288" w:lineRule="auto"/>
        <w:jc w:val="center"/>
        <w:rPr>
          <w:rFonts w:ascii="Times New Roman" w:eastAsia="Times New Roman" w:hAnsi="Times New Roman" w:cs="Times New Roman"/>
          <w:b/>
          <w:smallCaps/>
          <w:sz w:val="24"/>
          <w:szCs w:val="24"/>
          <w:lang w:eastAsia="pl-PL"/>
        </w:rPr>
      </w:pPr>
    </w:p>
    <w:p w:rsidR="00CA1C0C" w:rsidRDefault="00CA1C0C" w:rsidP="00BD40EC">
      <w:pPr>
        <w:spacing w:after="120" w:line="288" w:lineRule="auto"/>
        <w:jc w:val="center"/>
        <w:rPr>
          <w:rFonts w:ascii="Times New Roman" w:eastAsia="Times New Roman" w:hAnsi="Times New Roman" w:cs="Times New Roman"/>
          <w:b/>
          <w:smallCaps/>
          <w:sz w:val="24"/>
          <w:szCs w:val="24"/>
          <w:lang w:eastAsia="pl-PL"/>
        </w:rPr>
      </w:pPr>
    </w:p>
    <w:p w:rsidR="0023252C" w:rsidRPr="0023252C" w:rsidRDefault="0023252C" w:rsidP="00BD40EC">
      <w:pPr>
        <w:spacing w:after="120" w:line="288" w:lineRule="auto"/>
        <w:jc w:val="center"/>
        <w:rPr>
          <w:rFonts w:ascii="Times New Roman" w:eastAsia="Times New Roman" w:hAnsi="Times New Roman" w:cs="Times New Roman"/>
          <w:b/>
          <w:smallCaps/>
          <w:sz w:val="24"/>
          <w:szCs w:val="24"/>
          <w:lang w:eastAsia="pl-PL"/>
        </w:rPr>
      </w:pPr>
      <w:r w:rsidRPr="0023252C">
        <w:rPr>
          <w:rFonts w:ascii="Times New Roman" w:eastAsia="Times New Roman" w:hAnsi="Times New Roman" w:cs="Times New Roman"/>
          <w:b/>
          <w:smallCaps/>
          <w:sz w:val="24"/>
          <w:szCs w:val="24"/>
          <w:lang w:eastAsia="pl-PL"/>
        </w:rPr>
        <w:lastRenderedPageBreak/>
        <w:t>UZASADNIENIE</w:t>
      </w:r>
    </w:p>
    <w:p w:rsidR="0023252C" w:rsidRDefault="0023252C" w:rsidP="00BD40EC">
      <w:pPr>
        <w:spacing w:after="120" w:line="288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23252C" w:rsidRDefault="0023252C" w:rsidP="00BD40EC">
      <w:pPr>
        <w:spacing w:after="120" w:line="288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3252C">
        <w:rPr>
          <w:rFonts w:ascii="Times New Roman" w:eastAsia="Times New Roman" w:hAnsi="Times New Roman" w:cs="Times New Roman"/>
          <w:sz w:val="24"/>
          <w:szCs w:val="24"/>
          <w:lang w:eastAsia="pl-PL"/>
        </w:rPr>
        <w:t>Celem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projektowanej</w:t>
      </w:r>
      <w:r w:rsidRPr="0023252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ustawy jest zmiana przepisów dotyczących skargi nadzwyczajnej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oraz procedury mianowania na stanowisko asesora sądowego w sądzie powszechnym.</w:t>
      </w:r>
    </w:p>
    <w:p w:rsidR="0023252C" w:rsidRPr="0023252C" w:rsidRDefault="0023252C" w:rsidP="00BD40EC">
      <w:pPr>
        <w:spacing w:after="120" w:line="288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W myśl projektowanej ustawy</w:t>
      </w:r>
      <w:r w:rsidR="001F7A9C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  <w:r w:rsidRPr="0023252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przesłanki</w:t>
      </w:r>
      <w:r w:rsidRPr="0023252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pozwalając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e</w:t>
      </w:r>
      <w:r w:rsidRPr="0023252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na skorzystanie z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e skargi nadzwyczajnej, zawarte w art. 89 ustawy </w:t>
      </w:r>
      <w:r w:rsidR="001F7A9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 dnia 8 grudnia 2017 r.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o Sądzie Najwyższym, zostają doprecyzowane</w:t>
      </w:r>
      <w:r w:rsidRPr="0023252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 taki sposób, by przepis ten w szerszym niż dotąd stopniu zawierał treść normatywną wywodzącą się bezpośrednio z Konstytucji RP – z której wynika sama istota wprowadzenia tego środka do polskiego prawa.</w:t>
      </w:r>
    </w:p>
    <w:p w:rsidR="0023252C" w:rsidRPr="0023252C" w:rsidRDefault="0023252C" w:rsidP="00BD40EC">
      <w:pPr>
        <w:spacing w:after="120" w:line="288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3252C">
        <w:rPr>
          <w:rFonts w:ascii="Times New Roman" w:eastAsia="Times New Roman" w:hAnsi="Times New Roman" w:cs="Times New Roman"/>
          <w:sz w:val="24"/>
          <w:szCs w:val="24"/>
          <w:lang w:eastAsia="pl-PL"/>
        </w:rPr>
        <w:t>Przede wszystkim w projektowanej nowelizacji wskazano, że niezależnie od przesłanek wskazanych w dotychczaso</w:t>
      </w:r>
      <w:r w:rsidR="0095324E">
        <w:rPr>
          <w:rFonts w:ascii="Times New Roman" w:eastAsia="Times New Roman" w:hAnsi="Times New Roman" w:cs="Times New Roman"/>
          <w:sz w:val="24"/>
          <w:szCs w:val="24"/>
          <w:lang w:eastAsia="pl-PL"/>
        </w:rPr>
        <w:t>wym brzmieniu art. 89 § 1 pkt 1-3</w:t>
      </w:r>
      <w:r w:rsidRPr="0023252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do wniesienia skargi nadzwyczajnej konieczne jest zaistnienie dodatkowego, wstępnego warunku, realizującego </w:t>
      </w:r>
      <w:r w:rsidRPr="0023252C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expressis verbis</w:t>
      </w:r>
      <w:r w:rsidRPr="0023252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naczelną zasadę ustroju Rzeczypospolitej </w:t>
      </w:r>
      <w:r w:rsidR="001F7A9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Polskiej wywodzącą się z art. 2 </w:t>
      </w:r>
      <w:r w:rsidRPr="0023252C">
        <w:rPr>
          <w:rFonts w:ascii="Times New Roman" w:eastAsia="Times New Roman" w:hAnsi="Times New Roman" w:cs="Times New Roman"/>
          <w:sz w:val="24"/>
          <w:szCs w:val="24"/>
          <w:lang w:eastAsia="pl-PL"/>
        </w:rPr>
        <w:t>Konstytucji. W myśl zmienionego przepisu, skargę nadzwyczajną będ</w:t>
      </w:r>
      <w:r w:rsidR="001F7A9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zie można wnieść – </w:t>
      </w:r>
      <w:r w:rsidRPr="0023252C">
        <w:rPr>
          <w:rFonts w:ascii="Times New Roman" w:eastAsia="Times New Roman" w:hAnsi="Times New Roman" w:cs="Times New Roman"/>
          <w:sz w:val="24"/>
          <w:szCs w:val="24"/>
          <w:lang w:eastAsia="pl-PL"/>
        </w:rPr>
        <w:t>niezależnie od zaistnienia bardziej szczegółowych przesłanek wymienionych</w:t>
      </w:r>
      <w:r w:rsidR="0095324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</w:t>
      </w:r>
      <w:r w:rsidRPr="0023252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dalszej części</w:t>
      </w:r>
      <w:r w:rsidR="001F7A9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89 § 1 ustawy</w:t>
      </w:r>
      <w:r w:rsidRPr="0023252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– </w:t>
      </w:r>
      <w:r w:rsidRPr="0023252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tylko wtedy, gdy będzie to absolutnie niezbędne z punktu widzenia zasady demokratycznego państwa prawnego urzeczywistniającego zasady sprawiedliwości społecznej.</w:t>
      </w:r>
    </w:p>
    <w:p w:rsidR="0023252C" w:rsidRPr="0023252C" w:rsidRDefault="0023252C" w:rsidP="00BD40EC">
      <w:pPr>
        <w:spacing w:after="120" w:line="288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3252C">
        <w:rPr>
          <w:rFonts w:ascii="Times New Roman" w:eastAsia="Times New Roman" w:hAnsi="Times New Roman" w:cs="Times New Roman"/>
          <w:sz w:val="24"/>
          <w:szCs w:val="24"/>
          <w:lang w:eastAsia="pl-PL"/>
        </w:rPr>
        <w:t>Rozwiązanie to jest modyfikacją obecnego stanu prawnego, w którym również istniała podstawowa, wstępna przesłanką waru</w:t>
      </w:r>
      <w:r w:rsidR="0095324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nkująca dopuszczalność skargi, </w:t>
      </w:r>
      <w:r w:rsidRPr="0023252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a mianowicie jej konieczność dla zapewnienia praworządności i sprawiedliwości społecznej. </w:t>
      </w:r>
    </w:p>
    <w:p w:rsidR="0023252C" w:rsidRPr="0023252C" w:rsidRDefault="0023252C" w:rsidP="00BD40EC">
      <w:pPr>
        <w:spacing w:after="120" w:line="288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3252C">
        <w:rPr>
          <w:rFonts w:ascii="Times New Roman" w:eastAsia="Times New Roman" w:hAnsi="Times New Roman" w:cs="Times New Roman"/>
          <w:sz w:val="24"/>
          <w:szCs w:val="24"/>
          <w:lang w:eastAsia="pl-PL"/>
        </w:rPr>
        <w:t>W ocenie autorów projektu, dotychczasowa treść tego prze</w:t>
      </w:r>
      <w:r w:rsidR="001F7A9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pisu mogła rodzić wątpliwości i </w:t>
      </w:r>
      <w:r w:rsidRPr="0023252C">
        <w:rPr>
          <w:rFonts w:ascii="Times New Roman" w:eastAsia="Times New Roman" w:hAnsi="Times New Roman" w:cs="Times New Roman"/>
          <w:sz w:val="24"/>
          <w:szCs w:val="24"/>
          <w:lang w:eastAsia="pl-PL"/>
        </w:rPr>
        <w:t>powodować, że skarga</w:t>
      </w:r>
      <w:r w:rsidR="0095324E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  <w:r w:rsidRPr="0023252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mająca mieć charakter nadzwyczajny</w:t>
      </w:r>
      <w:r w:rsidR="0095324E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  <w:r w:rsidRPr="0023252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mogła być nadużywana ponad rzeczywistą intencję ustawodawcy.</w:t>
      </w:r>
    </w:p>
    <w:p w:rsidR="0023252C" w:rsidRPr="0023252C" w:rsidRDefault="0023252C" w:rsidP="00BD40EC">
      <w:pPr>
        <w:spacing w:after="120" w:line="288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3252C">
        <w:rPr>
          <w:rFonts w:ascii="Times New Roman" w:eastAsia="Times New Roman" w:hAnsi="Times New Roman" w:cs="Times New Roman"/>
          <w:sz w:val="24"/>
          <w:szCs w:val="24"/>
          <w:lang w:eastAsia="pl-PL"/>
        </w:rPr>
        <w:t>Sformułowanie z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awarte obecnie w </w:t>
      </w:r>
      <w:r w:rsidRPr="0023252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art. 89 § 1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ustawy jest</w:t>
      </w:r>
      <w:r w:rsidRPr="0023252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klauzulą generalną odmienną od istniejącej od dawna w polskim porządku prawnym zasady z art. 2 Konstytucji (choć </w:t>
      </w:r>
      <w:r w:rsidR="00C219EA">
        <w:rPr>
          <w:rFonts w:ascii="Times New Roman" w:eastAsia="Times New Roman" w:hAnsi="Times New Roman" w:cs="Times New Roman"/>
          <w:sz w:val="24"/>
          <w:szCs w:val="24"/>
          <w:lang w:eastAsia="pl-PL"/>
        </w:rPr>
        <w:t>w pewnym zakresie</w:t>
      </w:r>
      <w:r w:rsidR="0095324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do niej podobną),</w:t>
      </w:r>
      <w:r w:rsidRPr="0023252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a jego wykładnia wymagałaby dopiero ugruntowania w drodze orzecznictwa sądów. Mogło to prowadzić do stanu swoistej niepewności prawnej co do zakres</w:t>
      </w:r>
      <w:r w:rsidR="0095324E">
        <w:rPr>
          <w:rFonts w:ascii="Times New Roman" w:eastAsia="Times New Roman" w:hAnsi="Times New Roman" w:cs="Times New Roman"/>
          <w:sz w:val="24"/>
          <w:szCs w:val="24"/>
          <w:lang w:eastAsia="pl-PL"/>
        </w:rPr>
        <w:t>u znaczeniowego tej przesłanki,</w:t>
      </w:r>
      <w:r w:rsidRPr="0023252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co w konsekwencji każdorazowo utrudniałoby dokonywanie jej subsumpcji w odniesieniu do skonkretyzowanych stanów faktycznych. </w:t>
      </w:r>
    </w:p>
    <w:p w:rsidR="0023252C" w:rsidRPr="0023252C" w:rsidRDefault="0023252C" w:rsidP="00BD40EC">
      <w:pPr>
        <w:spacing w:after="120" w:line="288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3252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Zastąpienie dotychczasowego sformułowania odwołaniem </w:t>
      </w:r>
      <w:r w:rsidR="00C219EA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expressis verbis</w:t>
      </w:r>
      <w:r w:rsidR="0095324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do normy rangi konstytucyjnej,</w:t>
      </w:r>
      <w:r w:rsidRPr="0023252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stanowiącej naczelną zasadę ustrojową państwa, będącej od kilkudziesięciu lat przedmiotem rozbudowanego orzecznictwa sądów i Trybunału Konstytucyjnego, pozwoli zapobiec powstaniu potencjal</w:t>
      </w:r>
      <w:r w:rsidR="0095324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nego stanu niepewności prawa oraz ugruntuje nadzwyczajny </w:t>
      </w:r>
      <w:r w:rsidRPr="0023252C">
        <w:rPr>
          <w:rFonts w:ascii="Times New Roman" w:eastAsia="Times New Roman" w:hAnsi="Times New Roman" w:cs="Times New Roman"/>
          <w:sz w:val="24"/>
          <w:szCs w:val="24"/>
          <w:lang w:eastAsia="pl-PL"/>
        </w:rPr>
        <w:t>charakter środka zaskarżenia przewidzianego w art. 89 nowelizowanej ustawy.</w:t>
      </w:r>
    </w:p>
    <w:p w:rsidR="0023252C" w:rsidRPr="0023252C" w:rsidRDefault="0023252C" w:rsidP="00BD40EC">
      <w:pPr>
        <w:spacing w:after="120" w:line="288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3252C">
        <w:rPr>
          <w:rFonts w:ascii="Times New Roman" w:eastAsia="Times New Roman" w:hAnsi="Times New Roman" w:cs="Times New Roman"/>
          <w:sz w:val="24"/>
          <w:szCs w:val="24"/>
          <w:lang w:eastAsia="pl-PL"/>
        </w:rPr>
        <w:t>Pozytywne znaczenie z punktu widzenia przejrzystości ustawy ma także wyraźn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iejsze podkreślenie, że zaistnienie tej przesłanki jest samo w sobie warunkiem wstępnym, którego spełnienie jest wymagane do złożenia skargi nadzwyczajnej. Temu właśnie służy odmienna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 xml:space="preserve">redakcja przepisu art. 89 </w:t>
      </w:r>
      <w:r w:rsidRPr="0023252C">
        <w:rPr>
          <w:rFonts w:ascii="Times New Roman" w:eastAsia="Times New Roman" w:hAnsi="Times New Roman" w:cs="Times New Roman"/>
          <w:sz w:val="24"/>
          <w:szCs w:val="24"/>
          <w:lang w:eastAsia="pl-PL"/>
        </w:rPr>
        <w:t>§ 1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i </w:t>
      </w:r>
      <w:r w:rsidR="0005353D">
        <w:rPr>
          <w:rFonts w:ascii="Times New Roman" w:eastAsia="Times New Roman" w:hAnsi="Times New Roman" w:cs="Times New Roman"/>
          <w:sz w:val="24"/>
          <w:szCs w:val="24"/>
          <w:lang w:eastAsia="pl-PL"/>
        </w:rPr>
        <w:t>wskazanie tego warunku na samym jego początku, co bezpośrednio podkreśla, że konieczne jest</w:t>
      </w:r>
      <w:r w:rsidRPr="0023252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05353D">
        <w:rPr>
          <w:rFonts w:ascii="Times New Roman" w:eastAsia="Times New Roman" w:hAnsi="Times New Roman" w:cs="Times New Roman"/>
          <w:sz w:val="24"/>
          <w:szCs w:val="24"/>
          <w:lang w:eastAsia="pl-PL"/>
        </w:rPr>
        <w:t>jednoczesne</w:t>
      </w:r>
      <w:r w:rsidRPr="0023252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05353D">
        <w:rPr>
          <w:rFonts w:ascii="Times New Roman" w:eastAsia="Times New Roman" w:hAnsi="Times New Roman" w:cs="Times New Roman"/>
          <w:sz w:val="24"/>
          <w:szCs w:val="24"/>
          <w:lang w:eastAsia="pl-PL"/>
        </w:rPr>
        <w:t>jego s</w:t>
      </w:r>
      <w:r w:rsidRPr="0023252C">
        <w:rPr>
          <w:rFonts w:ascii="Times New Roman" w:eastAsia="Times New Roman" w:hAnsi="Times New Roman" w:cs="Times New Roman"/>
          <w:sz w:val="24"/>
          <w:szCs w:val="24"/>
          <w:lang w:eastAsia="pl-PL"/>
        </w:rPr>
        <w:t>pełnieni</w:t>
      </w:r>
      <w:r w:rsidR="0005353D">
        <w:rPr>
          <w:rFonts w:ascii="Times New Roman" w:eastAsia="Times New Roman" w:hAnsi="Times New Roman" w:cs="Times New Roman"/>
          <w:sz w:val="24"/>
          <w:szCs w:val="24"/>
          <w:lang w:eastAsia="pl-PL"/>
        </w:rPr>
        <w:t>e</w:t>
      </w:r>
      <w:r w:rsidRPr="0023252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oraz zaistnieni</w:t>
      </w:r>
      <w:r w:rsidR="0005353D">
        <w:rPr>
          <w:rFonts w:ascii="Times New Roman" w:eastAsia="Times New Roman" w:hAnsi="Times New Roman" w:cs="Times New Roman"/>
          <w:sz w:val="24"/>
          <w:szCs w:val="24"/>
          <w:lang w:eastAsia="pl-PL"/>
        </w:rPr>
        <w:t>e</w:t>
      </w:r>
      <w:r w:rsidRPr="0023252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którejś z sytuacji z pkt </w:t>
      </w:r>
      <w:r w:rsidR="0005353D">
        <w:rPr>
          <w:rFonts w:ascii="Times New Roman" w:eastAsia="Times New Roman" w:hAnsi="Times New Roman" w:cs="Times New Roman"/>
          <w:sz w:val="24"/>
          <w:szCs w:val="24"/>
          <w:lang w:eastAsia="pl-PL"/>
        </w:rPr>
        <w:t>1</w:t>
      </w:r>
      <w:r w:rsidR="0095324E">
        <w:rPr>
          <w:rFonts w:ascii="Times New Roman" w:eastAsia="Times New Roman" w:hAnsi="Times New Roman" w:cs="Times New Roman"/>
          <w:sz w:val="24"/>
          <w:szCs w:val="24"/>
          <w:lang w:eastAsia="pl-PL"/>
        </w:rPr>
        <w:t>-</w:t>
      </w:r>
      <w:r w:rsidR="0005353D">
        <w:rPr>
          <w:rFonts w:ascii="Times New Roman" w:eastAsia="Times New Roman" w:hAnsi="Times New Roman" w:cs="Times New Roman"/>
          <w:sz w:val="24"/>
          <w:szCs w:val="24"/>
          <w:lang w:eastAsia="pl-PL"/>
        </w:rPr>
        <w:t>3</w:t>
      </w:r>
      <w:r w:rsidRPr="0023252C">
        <w:rPr>
          <w:rFonts w:ascii="Times New Roman" w:eastAsia="Times New Roman" w:hAnsi="Times New Roman" w:cs="Times New Roman"/>
          <w:sz w:val="24"/>
          <w:szCs w:val="24"/>
          <w:lang w:eastAsia="pl-PL"/>
        </w:rPr>
        <w:t>. Dodatkowo ustawodawca zwraca w ten sposób uwagę na wyjątkowy charakter skargi nadzwyczajnej.</w:t>
      </w:r>
    </w:p>
    <w:p w:rsidR="0023252C" w:rsidRPr="0023252C" w:rsidRDefault="0095324E" w:rsidP="00BD40EC">
      <w:pPr>
        <w:spacing w:after="120" w:line="288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W</w:t>
      </w:r>
      <w:r w:rsidR="0023252C" w:rsidRPr="0023252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projektowanej nowelizacji szczególny nacisk położono na podkreślenie, że naruszenia prawa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  <w:r w:rsidR="0023252C" w:rsidRPr="0023252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a</w:t>
      </w:r>
      <w:r w:rsidR="0023252C" w:rsidRPr="0023252C">
        <w:rPr>
          <w:rFonts w:ascii="Times New Roman" w:eastAsia="Times New Roman" w:hAnsi="Times New Roman" w:cs="Times New Roman"/>
          <w:sz w:val="24"/>
          <w:szCs w:val="24"/>
          <w:lang w:eastAsia="pl-PL"/>
        </w:rPr>
        <w:t>by dawały podstawę do w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niesienia skargi nadzwyczajnej,</w:t>
      </w:r>
      <w:r w:rsidR="0023252C" w:rsidRPr="0023252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powinny:</w:t>
      </w:r>
    </w:p>
    <w:p w:rsidR="0023252C" w:rsidRPr="0023252C" w:rsidRDefault="0023252C" w:rsidP="00BD40EC">
      <w:pPr>
        <w:pStyle w:val="Akapitzlist"/>
        <w:numPr>
          <w:ilvl w:val="0"/>
          <w:numId w:val="10"/>
        </w:numPr>
        <w:spacing w:after="120" w:line="288" w:lineRule="auto"/>
        <w:contextualSpacing w:val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3252C">
        <w:rPr>
          <w:rFonts w:ascii="Times New Roman" w:eastAsia="Times New Roman" w:hAnsi="Times New Roman" w:cs="Times New Roman"/>
          <w:sz w:val="24"/>
          <w:szCs w:val="24"/>
          <w:lang w:eastAsia="pl-PL"/>
        </w:rPr>
        <w:t>dotyczyć najważniejszych zasad ustrojowych państwa (przesłanka z pkt 1)</w:t>
      </w:r>
      <w:r w:rsidR="0095324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</w:t>
      </w:r>
      <w:r w:rsidRPr="0023252C">
        <w:rPr>
          <w:rFonts w:ascii="Times New Roman" w:eastAsia="Times New Roman" w:hAnsi="Times New Roman" w:cs="Times New Roman"/>
          <w:sz w:val="24"/>
          <w:szCs w:val="24"/>
          <w:lang w:eastAsia="pl-PL"/>
        </w:rPr>
        <w:t>ewentualnie</w:t>
      </w:r>
    </w:p>
    <w:p w:rsidR="0023252C" w:rsidRPr="0023252C" w:rsidRDefault="0095324E" w:rsidP="00BD40EC">
      <w:pPr>
        <w:pStyle w:val="Akapitzlist"/>
        <w:numPr>
          <w:ilvl w:val="0"/>
          <w:numId w:val="10"/>
        </w:numPr>
        <w:spacing w:after="120" w:line="288" w:lineRule="auto"/>
        <w:contextualSpacing w:val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dotyczyć innych przepisów,</w:t>
      </w:r>
      <w:r w:rsidR="0023252C" w:rsidRPr="0023252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ale wówczas mieć jednocześnie rażący i oczywisty charakter</w:t>
      </w:r>
      <w:r w:rsidR="00B85F0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(pkt 2)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  <w:r w:rsidR="001F7A9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ewentualnie</w:t>
      </w:r>
    </w:p>
    <w:p w:rsidR="0023252C" w:rsidRPr="0023252C" w:rsidRDefault="0095324E" w:rsidP="00BD40EC">
      <w:pPr>
        <w:pStyle w:val="Akapitzlist"/>
        <w:numPr>
          <w:ilvl w:val="0"/>
          <w:numId w:val="10"/>
        </w:numPr>
        <w:spacing w:after="120" w:line="288" w:lineRule="auto"/>
        <w:contextualSpacing w:val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dotyczyć ustaleń faktycznych,</w:t>
      </w:r>
      <w:r w:rsidR="0023252C" w:rsidRPr="0023252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ale tylko wtedy, gdy błędy popełnione w toku postępowania były rażące i oczywiste, a ponadto gdy miały istotny wpływ na treść orzeczenia</w:t>
      </w:r>
      <w:r w:rsidR="00B85F0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(pkt 3)</w:t>
      </w:r>
      <w:r w:rsidR="0023252C" w:rsidRPr="0023252C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:rsidR="0023252C" w:rsidRDefault="0023252C" w:rsidP="00BD40EC">
      <w:pPr>
        <w:spacing w:after="120" w:line="288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3252C">
        <w:rPr>
          <w:rFonts w:ascii="Times New Roman" w:eastAsia="Times New Roman" w:hAnsi="Times New Roman" w:cs="Times New Roman"/>
          <w:sz w:val="24"/>
          <w:szCs w:val="24"/>
          <w:lang w:eastAsia="pl-PL"/>
        </w:rPr>
        <w:t>Jak wskazano już wyżej, w każdym przypadku łącznie z jedną z ww. przesłanek musi również zaistnieć przesłanka z art. 89 § 1</w:t>
      </w:r>
      <w:r w:rsidR="0005353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05353D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 xml:space="preserve">in </w:t>
      </w:r>
      <w:proofErr w:type="spellStart"/>
      <w:r w:rsidR="0005353D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principio</w:t>
      </w:r>
      <w:proofErr w:type="spellEnd"/>
      <w:r w:rsidR="0095324E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  <w:r w:rsidRPr="0023252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co dodatkowo umacnia nadzwyczajny charakter skargi.</w:t>
      </w:r>
    </w:p>
    <w:p w:rsidR="0005353D" w:rsidRPr="0023252C" w:rsidRDefault="0005353D" w:rsidP="00BD40EC">
      <w:pPr>
        <w:spacing w:after="120" w:line="288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Konsekwencją zmienionej treści art. 89 </w:t>
      </w:r>
      <w:r w:rsidRPr="0023252C">
        <w:rPr>
          <w:rFonts w:ascii="Times New Roman" w:eastAsia="Times New Roman" w:hAnsi="Times New Roman" w:cs="Times New Roman"/>
          <w:sz w:val="24"/>
          <w:szCs w:val="24"/>
          <w:lang w:eastAsia="pl-PL"/>
        </w:rPr>
        <w:t>§ 1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jest również odpowiednia modyfikacja przepisu art.</w:t>
      </w:r>
      <w:r w:rsidR="00C219E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1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C219EA" w:rsidRPr="0023252C">
        <w:rPr>
          <w:rFonts w:ascii="Times New Roman" w:eastAsia="Times New Roman" w:hAnsi="Times New Roman" w:cs="Times New Roman"/>
          <w:sz w:val="24"/>
          <w:szCs w:val="24"/>
          <w:lang w:eastAsia="pl-PL"/>
        </w:rPr>
        <w:t>pkt 1 lit. b</w:t>
      </w:r>
      <w:r w:rsidR="00C219EA">
        <w:rPr>
          <w:rFonts w:ascii="Times New Roman" w:eastAsia="Times New Roman" w:hAnsi="Times New Roman" w:cs="Times New Roman"/>
          <w:sz w:val="24"/>
          <w:szCs w:val="24"/>
          <w:lang w:eastAsia="pl-PL"/>
        </w:rPr>
        <w:t>, poprzez odwołanie do zasady z art. 2 Konstytucji RP także i w tym przepisie, określającym zadania Sądu Najwyższego.</w:t>
      </w:r>
    </w:p>
    <w:p w:rsidR="00B85F06" w:rsidRPr="0023252C" w:rsidRDefault="0023252C" w:rsidP="00BD40EC">
      <w:pPr>
        <w:spacing w:after="120" w:line="288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3252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Kolejną zmianą jest </w:t>
      </w:r>
      <w:r w:rsidR="00B85F0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ograniczenie kręgu podmiotów uprawnionych do wniesienia skargi nadzwyczajnej od orzeczeń zapadłych po 17 października </w:t>
      </w:r>
      <w:r w:rsidR="001F7A9C">
        <w:rPr>
          <w:rFonts w:ascii="Times New Roman" w:eastAsia="Times New Roman" w:hAnsi="Times New Roman" w:cs="Times New Roman"/>
          <w:sz w:val="24"/>
          <w:szCs w:val="24"/>
          <w:lang w:eastAsia="pl-PL"/>
        </w:rPr>
        <w:t>1997 r.</w:t>
      </w:r>
      <w:r w:rsidR="00B85F0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(tj.</w:t>
      </w:r>
      <w:r w:rsidR="0095324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po</w:t>
      </w:r>
      <w:r w:rsidR="00B85F0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dacie wejścia w życie Konstytucji RP), a przed wejściem w życie nowelizowanej ustawy. W myśl projektowanego przepisu art. 115 </w:t>
      </w:r>
      <w:r w:rsidR="00B85F06" w:rsidRPr="0023252C">
        <w:rPr>
          <w:rFonts w:ascii="Times New Roman" w:eastAsia="Times New Roman" w:hAnsi="Times New Roman" w:cs="Times New Roman"/>
          <w:sz w:val="24"/>
          <w:szCs w:val="24"/>
          <w:lang w:eastAsia="pl-PL"/>
        </w:rPr>
        <w:t>§ 1</w:t>
      </w:r>
      <w:r w:rsidR="00B85F0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a, w odniesieniu do takich orzeczeń skarga nadzwyczajna będzie mogła zostać złożona wyłącznie przez </w:t>
      </w:r>
      <w:r w:rsidR="00B85F06" w:rsidRPr="0023252C">
        <w:rPr>
          <w:rFonts w:ascii="Times New Roman" w:eastAsia="Times New Roman" w:hAnsi="Times New Roman" w:cs="Times New Roman"/>
          <w:sz w:val="24"/>
          <w:szCs w:val="24"/>
          <w:lang w:eastAsia="pl-PL"/>
        </w:rPr>
        <w:t>Prokuratora Generalnego lub Rzecznika Praw Obywatelskich</w:t>
      </w:r>
      <w:r w:rsidR="00B85F06">
        <w:rPr>
          <w:rFonts w:ascii="Times New Roman" w:eastAsia="Times New Roman" w:hAnsi="Times New Roman" w:cs="Times New Roman"/>
          <w:sz w:val="24"/>
          <w:szCs w:val="24"/>
          <w:lang w:eastAsia="pl-PL"/>
        </w:rPr>
        <w:t>, co oznacza że kompetencji tej zostają pozbawione inne podmioty (</w:t>
      </w:r>
      <w:r w:rsidR="00B85F06" w:rsidRPr="00B85F06">
        <w:rPr>
          <w:rFonts w:ascii="Times New Roman" w:eastAsia="Times New Roman" w:hAnsi="Times New Roman" w:cs="Times New Roman"/>
          <w:sz w:val="24"/>
          <w:szCs w:val="24"/>
          <w:lang w:eastAsia="pl-PL"/>
        </w:rPr>
        <w:t>Prezes Prokuratorii Generalnej Rzeczypospolitej Polskiej, Rzecznik Praw Dziecka, Rzecznik Praw Pacjenta, Przewodniczący Komisji Nadzoru Finansowego, Rzecznik Finansowy i Prezes Urzędu Ochrony Konkurencji i Konsumentów</w:t>
      </w:r>
      <w:r w:rsidR="00B85F06">
        <w:rPr>
          <w:rFonts w:ascii="Times New Roman" w:eastAsia="Times New Roman" w:hAnsi="Times New Roman" w:cs="Times New Roman"/>
          <w:sz w:val="24"/>
          <w:szCs w:val="24"/>
          <w:lang w:eastAsia="pl-PL"/>
        </w:rPr>
        <w:t>). Zmiana ta ma na celu dodatkowe wzmocnienie nadzwyczajnego charakteru skargi, szczególnie istotnego w odniesieniu do orzeczeń które zapadły przed wprowadzeniem tego środka do polskiego systemu prawnego</w:t>
      </w:r>
    </w:p>
    <w:p w:rsidR="0023252C" w:rsidRDefault="0023252C" w:rsidP="00BD40EC">
      <w:pPr>
        <w:spacing w:after="120" w:line="288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3252C">
        <w:rPr>
          <w:rFonts w:ascii="Times New Roman" w:eastAsia="Times New Roman" w:hAnsi="Times New Roman" w:cs="Times New Roman"/>
          <w:sz w:val="24"/>
          <w:szCs w:val="24"/>
          <w:lang w:eastAsia="pl-PL"/>
        </w:rPr>
        <w:t>Projekt zmienia też redakcję przepisu</w:t>
      </w:r>
      <w:r w:rsidR="00BD40E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art. 94 (i – odpowiednio – art. 115 </w:t>
      </w:r>
      <w:r w:rsidR="00BD40EC" w:rsidRPr="00BD40EC">
        <w:rPr>
          <w:rFonts w:ascii="Times New Roman" w:eastAsia="Times New Roman" w:hAnsi="Times New Roman" w:cs="Times New Roman"/>
          <w:sz w:val="24"/>
          <w:szCs w:val="24"/>
          <w:lang w:eastAsia="pl-PL"/>
        </w:rPr>
        <w:t>§ 2</w:t>
      </w:r>
      <w:r w:rsidR="00BD40EC">
        <w:rPr>
          <w:rFonts w:ascii="Times New Roman" w:eastAsia="Times New Roman" w:hAnsi="Times New Roman" w:cs="Times New Roman"/>
          <w:sz w:val="24"/>
          <w:szCs w:val="24"/>
          <w:lang w:eastAsia="pl-PL"/>
        </w:rPr>
        <w:t>)</w:t>
      </w:r>
      <w:r w:rsidRPr="0023252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regulującego sytuację, gdy od daty uprawomocnienia się orzeczenia upłynęło ponad 5 lat. Obecna redakcja jest </w:t>
      </w:r>
      <w:r w:rsidR="00BD40EC">
        <w:rPr>
          <w:rFonts w:ascii="Times New Roman" w:eastAsia="Times New Roman" w:hAnsi="Times New Roman" w:cs="Times New Roman"/>
          <w:sz w:val="24"/>
          <w:szCs w:val="24"/>
          <w:lang w:eastAsia="pl-PL"/>
        </w:rPr>
        <w:t>nieprecyzyjna</w:t>
      </w:r>
      <w:r w:rsidR="0095324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ponieważ </w:t>
      </w:r>
      <w:r w:rsidR="001F7A9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sytuacji, w </w:t>
      </w:r>
      <w:r w:rsidRPr="0023252C">
        <w:rPr>
          <w:rFonts w:ascii="Times New Roman" w:eastAsia="Times New Roman" w:hAnsi="Times New Roman" w:cs="Times New Roman"/>
          <w:sz w:val="24"/>
          <w:szCs w:val="24"/>
          <w:lang w:eastAsia="pl-PL"/>
        </w:rPr>
        <w:t>której orzeczenie wywołało nieodwracalne skutki prawne, ale nie minęło jeszcze 5 lat od jego uprawomocnienia się, Sąd Najwyższy nie mógłby wydać orzeczenia innego niż uchylenie lub zmiana wyroku (co byłoby niepożądane z punktu widzenia stabilności prawa). Proponowana redakcja tego przepisu naprawia nieprecyzyjne sformułowania z obecnej ustawy i pozostawia decyzję w takich sytuacjach Sądowi Najwyższemu, w zale</w:t>
      </w:r>
      <w:r w:rsidR="001F7A9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żności od tego co jest zgodne z </w:t>
      </w:r>
      <w:r w:rsidRPr="0023252C">
        <w:rPr>
          <w:rFonts w:ascii="Times New Roman" w:eastAsia="Times New Roman" w:hAnsi="Times New Roman" w:cs="Times New Roman"/>
          <w:sz w:val="24"/>
          <w:szCs w:val="24"/>
          <w:lang w:eastAsia="pl-PL"/>
        </w:rPr>
        <w:t>zasadami lub wolnościami i prawami czło</w:t>
      </w:r>
      <w:r w:rsidR="001F7A9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wieka i obywatela określonymi w </w:t>
      </w:r>
      <w:r w:rsidRPr="0023252C">
        <w:rPr>
          <w:rFonts w:ascii="Times New Roman" w:eastAsia="Times New Roman" w:hAnsi="Times New Roman" w:cs="Times New Roman"/>
          <w:sz w:val="24"/>
          <w:szCs w:val="24"/>
          <w:lang w:eastAsia="pl-PL"/>
        </w:rPr>
        <w:t>Konstytucji.</w:t>
      </w:r>
    </w:p>
    <w:p w:rsidR="00BD40EC" w:rsidRPr="0023252C" w:rsidRDefault="00BD40EC" w:rsidP="00BD40EC">
      <w:pPr>
        <w:spacing w:after="120" w:line="288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Dodatkowo autorzy projektu proponują, aby Sąd Najwyższy mógł ograniczyć się do stwierdzenia, że orzeczenie zostało wydane z naruszeniem prawa, także w sytuacji gdyby jego uchylenie naruszało międzynarodowe zobowiązania Rzeczypospolitej Polskiej. Nowelizacja ta służy zapewnieniu, że skarg</w:t>
      </w:r>
      <w:r w:rsidR="0095324E">
        <w:rPr>
          <w:rFonts w:ascii="Times New Roman" w:eastAsia="Times New Roman" w:hAnsi="Times New Roman" w:cs="Times New Roman"/>
          <w:sz w:val="24"/>
          <w:szCs w:val="24"/>
          <w:lang w:eastAsia="pl-PL"/>
        </w:rPr>
        <w:t>a nadzwyczajna nie narazi Skarbu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Państwa na niedające się przewidzieć skutki finansowe (np. wynikające z konieczności zapłaty odszkodowań podmiotom zagranicznym). </w:t>
      </w:r>
    </w:p>
    <w:p w:rsidR="00BD40EC" w:rsidRDefault="00BD40EC" w:rsidP="00BD40EC">
      <w:pPr>
        <w:spacing w:after="120" w:line="288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Nowelizowane przepisy ustaw: </w:t>
      </w:r>
      <w:r w:rsidR="001F7A9C">
        <w:rPr>
          <w:rFonts w:ascii="Times New Roman" w:hAnsi="Times New Roman"/>
          <w:sz w:val="24"/>
          <w:szCs w:val="24"/>
        </w:rPr>
        <w:t>ustawy</w:t>
      </w:r>
      <w:r w:rsidR="001F7A9C" w:rsidRPr="001F7A9C">
        <w:rPr>
          <w:rFonts w:ascii="Times New Roman" w:hAnsi="Times New Roman"/>
          <w:sz w:val="24"/>
          <w:szCs w:val="24"/>
        </w:rPr>
        <w:t xml:space="preserve"> z dnia 27 lipca 2001 r. – Prawo o ustroju sądów powszechnych</w:t>
      </w:r>
      <w:r>
        <w:rPr>
          <w:rFonts w:ascii="Times New Roman" w:hAnsi="Times New Roman"/>
          <w:sz w:val="24"/>
          <w:szCs w:val="24"/>
        </w:rPr>
        <w:t>, ustawy</w:t>
      </w:r>
      <w:r w:rsidR="001F7A9C" w:rsidRPr="001F7A9C">
        <w:t xml:space="preserve"> </w:t>
      </w:r>
      <w:r w:rsidR="001F7A9C">
        <w:rPr>
          <w:rFonts w:ascii="Times New Roman" w:hAnsi="Times New Roman"/>
          <w:sz w:val="24"/>
          <w:szCs w:val="24"/>
        </w:rPr>
        <w:t>z dnia 23 stycznia 2009 r.</w:t>
      </w:r>
      <w:r>
        <w:rPr>
          <w:rFonts w:ascii="Times New Roman" w:hAnsi="Times New Roman"/>
          <w:sz w:val="24"/>
          <w:szCs w:val="24"/>
        </w:rPr>
        <w:t xml:space="preserve"> o Krajowej Szkole Sądownictwa i Prokuratury oraz ustawy </w:t>
      </w:r>
      <w:r w:rsidR="001F7A9C">
        <w:rPr>
          <w:rFonts w:ascii="Times New Roman" w:hAnsi="Times New Roman"/>
          <w:sz w:val="24"/>
          <w:szCs w:val="24"/>
        </w:rPr>
        <w:t xml:space="preserve">z dnia 12 maja 2011 r. </w:t>
      </w:r>
      <w:r>
        <w:rPr>
          <w:rFonts w:ascii="Times New Roman" w:hAnsi="Times New Roman"/>
          <w:sz w:val="24"/>
          <w:szCs w:val="24"/>
        </w:rPr>
        <w:t>o Krajowej Radzie Sądownictwa</w:t>
      </w:r>
      <w:r w:rsidR="001F7A9C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mają na celu wprowadzenie procedury, zgodnie z którą to nie Minister Sprawiedliwości</w:t>
      </w:r>
      <w:r w:rsidR="0095324E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lecz Prezydent Rzeczypospolitej Polskiej będzie dokonywał mianowania asesorów sądowych.</w:t>
      </w:r>
    </w:p>
    <w:p w:rsidR="00BD40EC" w:rsidRDefault="00BD40EC" w:rsidP="00BD40EC">
      <w:pPr>
        <w:spacing w:after="120" w:line="288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Należy uwzględnić, że w celu wprowadzenia ww. rozwiązania niezbędne są zmiany nie tylko w art. 106i ustawy – Prawo o ustroju sądów powszechnych, lecz także w przepisach regulujących procedurę poprzedzającą akt mianowania, zawartych w ustawie o Krajowej Szkole Sądownictwa i Prokuratury.</w:t>
      </w:r>
    </w:p>
    <w:p w:rsidR="00BD40EC" w:rsidRDefault="00BD40EC" w:rsidP="00BD40EC">
      <w:pPr>
        <w:spacing w:after="120" w:line="288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Jednocześnie należy uwzględnić, że w przypadku, gdy mianowania asesorów sądowych będzie dokonywał Prezydent, nie wydaje się możliwe </w:t>
      </w:r>
      <w:r w:rsidR="001F7A9C">
        <w:rPr>
          <w:rFonts w:ascii="Times New Roman" w:hAnsi="Times New Roman"/>
          <w:sz w:val="24"/>
          <w:szCs w:val="24"/>
        </w:rPr>
        <w:t xml:space="preserve">zachowanie regulacji, zgodnie z </w:t>
      </w:r>
      <w:r>
        <w:rPr>
          <w:rFonts w:ascii="Times New Roman" w:hAnsi="Times New Roman"/>
          <w:sz w:val="24"/>
          <w:szCs w:val="24"/>
        </w:rPr>
        <w:t>którą ocena kandydata na stanowisko asesorskie przez Krajową Radę Sądownictwa, mogąca skutkować wyrażeniem przez K</w:t>
      </w:r>
      <w:r w:rsidR="0068332B">
        <w:rPr>
          <w:rFonts w:ascii="Times New Roman" w:hAnsi="Times New Roman"/>
          <w:sz w:val="24"/>
          <w:szCs w:val="24"/>
        </w:rPr>
        <w:t xml:space="preserve">rajową </w:t>
      </w:r>
      <w:r>
        <w:rPr>
          <w:rFonts w:ascii="Times New Roman" w:hAnsi="Times New Roman"/>
          <w:sz w:val="24"/>
          <w:szCs w:val="24"/>
        </w:rPr>
        <w:t>R</w:t>
      </w:r>
      <w:r w:rsidR="0068332B">
        <w:rPr>
          <w:rFonts w:ascii="Times New Roman" w:hAnsi="Times New Roman"/>
          <w:sz w:val="24"/>
          <w:szCs w:val="24"/>
        </w:rPr>
        <w:t xml:space="preserve">adę </w:t>
      </w:r>
      <w:r>
        <w:rPr>
          <w:rFonts w:ascii="Times New Roman" w:hAnsi="Times New Roman"/>
          <w:sz w:val="24"/>
          <w:szCs w:val="24"/>
        </w:rPr>
        <w:t>S</w:t>
      </w:r>
      <w:r w:rsidR="0068332B">
        <w:rPr>
          <w:rFonts w:ascii="Times New Roman" w:hAnsi="Times New Roman"/>
          <w:sz w:val="24"/>
          <w:szCs w:val="24"/>
        </w:rPr>
        <w:t>ądownictwa</w:t>
      </w:r>
      <w:r>
        <w:rPr>
          <w:rFonts w:ascii="Times New Roman" w:hAnsi="Times New Roman"/>
          <w:sz w:val="24"/>
          <w:szCs w:val="24"/>
        </w:rPr>
        <w:t xml:space="preserve"> sprzeciwu wobec powierzenia danej osobie obowiązków sędziego, byłaby nadal dokonywana już po mianow</w:t>
      </w:r>
      <w:r w:rsidR="0095324E">
        <w:rPr>
          <w:rFonts w:ascii="Times New Roman" w:hAnsi="Times New Roman"/>
          <w:sz w:val="24"/>
          <w:szCs w:val="24"/>
        </w:rPr>
        <w:t>aniu asesora przez Prezydenta. B</w:t>
      </w:r>
      <w:r>
        <w:rPr>
          <w:rFonts w:ascii="Times New Roman" w:hAnsi="Times New Roman"/>
          <w:sz w:val="24"/>
          <w:szCs w:val="24"/>
        </w:rPr>
        <w:t>yłoby to niezgodne z ustrojową pozycją głowy państwa i wprowadzało zbyt daleko idącą różnicę pomiędzy procedurą powołania sędziego a procedurą mianowania asesora sądowego.</w:t>
      </w:r>
    </w:p>
    <w:p w:rsidR="00BD40EC" w:rsidRDefault="00BD40EC" w:rsidP="00BD40EC">
      <w:pPr>
        <w:spacing w:after="120" w:line="288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Tym samym w </w:t>
      </w:r>
      <w:r w:rsidR="0095324E">
        <w:rPr>
          <w:rFonts w:ascii="Times New Roman" w:hAnsi="Times New Roman"/>
          <w:sz w:val="24"/>
          <w:szCs w:val="24"/>
        </w:rPr>
        <w:t>projekcie</w:t>
      </w:r>
      <w:r>
        <w:rPr>
          <w:rFonts w:ascii="Times New Roman" w:hAnsi="Times New Roman"/>
          <w:sz w:val="24"/>
          <w:szCs w:val="24"/>
        </w:rPr>
        <w:t xml:space="preserve"> zaproponowano zmiany, zgodnie z którymi Krajowa Rada Sądownictwa będzie mogła wyrazić sprzeciw wobec kandydata na stanowisko asesorskie na etapie procedury poprzedzającym mianowanie asesora sądowego przez Prezydenta.</w:t>
      </w:r>
    </w:p>
    <w:p w:rsidR="00BD40EC" w:rsidRDefault="00BD40EC" w:rsidP="00BD40EC">
      <w:pPr>
        <w:spacing w:after="120" w:line="288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W konsekwencji asesor sądowy od dnia objęcia stanowiska asesorskiego będzie pełnił obowiązki sędziego.</w:t>
      </w:r>
    </w:p>
    <w:p w:rsidR="0023252C" w:rsidRPr="0023252C" w:rsidRDefault="0023252C" w:rsidP="00BD40EC">
      <w:pPr>
        <w:shd w:val="clear" w:color="auto" w:fill="FFFFFF"/>
        <w:spacing w:after="120" w:line="288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3252C">
        <w:rPr>
          <w:rFonts w:ascii="Times New Roman" w:eastAsia="Times New Roman" w:hAnsi="Times New Roman" w:cs="Times New Roman"/>
          <w:sz w:val="24"/>
          <w:szCs w:val="24"/>
          <w:lang w:eastAsia="pl-PL"/>
        </w:rPr>
        <w:t>Wejście w życie projektowanej ustawy nie wiąże się ze skutkami finansowymi dla budżetu państwa i budżetów jednostek samorządu terytorialnego.</w:t>
      </w:r>
    </w:p>
    <w:p w:rsidR="0023252C" w:rsidRPr="0023252C" w:rsidRDefault="0023252C" w:rsidP="00BD40EC">
      <w:pPr>
        <w:shd w:val="clear" w:color="auto" w:fill="FFFFFF"/>
        <w:spacing w:after="120" w:line="288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3252C">
        <w:rPr>
          <w:rFonts w:ascii="Times New Roman" w:eastAsia="Times New Roman" w:hAnsi="Times New Roman" w:cs="Times New Roman"/>
          <w:sz w:val="24"/>
          <w:szCs w:val="24"/>
          <w:lang w:eastAsia="pl-PL"/>
        </w:rPr>
        <w:t>Projekt ustawy wywołuje pozytywne skutki społeczne.</w:t>
      </w:r>
    </w:p>
    <w:p w:rsidR="0023252C" w:rsidRPr="0023252C" w:rsidRDefault="0023252C" w:rsidP="00BD40EC">
      <w:pPr>
        <w:shd w:val="clear" w:color="auto" w:fill="FFFFFF"/>
        <w:spacing w:after="120" w:line="288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3252C">
        <w:rPr>
          <w:rFonts w:ascii="Times New Roman" w:eastAsia="Times New Roman" w:hAnsi="Times New Roman" w:cs="Times New Roman"/>
          <w:sz w:val="24"/>
          <w:szCs w:val="24"/>
          <w:lang w:eastAsia="pl-PL"/>
        </w:rPr>
        <w:t>Przedmiot projektowanej regulacji nie jest objęty prawem Unii Europejskiej.</w:t>
      </w:r>
    </w:p>
    <w:p w:rsidR="0023252C" w:rsidRPr="0023252C" w:rsidRDefault="0023252C" w:rsidP="00BD40EC">
      <w:pPr>
        <w:shd w:val="clear" w:color="auto" w:fill="FFFFFF"/>
        <w:spacing w:after="120" w:line="288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FF12F6" w:rsidRPr="0023252C" w:rsidRDefault="00FF12F6" w:rsidP="00BD40EC">
      <w:pPr>
        <w:spacing w:after="120" w:line="288" w:lineRule="auto"/>
        <w:rPr>
          <w:rFonts w:ascii="Times New Roman" w:hAnsi="Times New Roman" w:cs="Times New Roman"/>
          <w:sz w:val="24"/>
          <w:szCs w:val="24"/>
        </w:rPr>
      </w:pPr>
    </w:p>
    <w:sectPr w:rsidR="00FF12F6" w:rsidRPr="0023252C" w:rsidSect="00B85F06">
      <w:footerReference w:type="default" r:id="rId7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D4D63" w:rsidRDefault="00ED4D63" w:rsidP="00B85F06">
      <w:pPr>
        <w:spacing w:after="0" w:line="240" w:lineRule="auto"/>
      </w:pPr>
      <w:r>
        <w:separator/>
      </w:r>
    </w:p>
  </w:endnote>
  <w:endnote w:type="continuationSeparator" w:id="0">
    <w:p w:rsidR="00ED4D63" w:rsidRDefault="00ED4D63" w:rsidP="00B85F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hAnsi="Times New Roman" w:cs="Times New Roman"/>
        <w:sz w:val="20"/>
        <w:szCs w:val="20"/>
      </w:rPr>
      <w:id w:val="-1733532397"/>
      <w:docPartObj>
        <w:docPartGallery w:val="Page Numbers (Bottom of Page)"/>
        <w:docPartUnique/>
      </w:docPartObj>
    </w:sdtPr>
    <w:sdtEndPr/>
    <w:sdtContent>
      <w:p w:rsidR="00B85F06" w:rsidRPr="00B85F06" w:rsidRDefault="00B85F06">
        <w:pPr>
          <w:pStyle w:val="Stopka"/>
          <w:jc w:val="center"/>
          <w:rPr>
            <w:rFonts w:ascii="Times New Roman" w:hAnsi="Times New Roman" w:cs="Times New Roman"/>
            <w:sz w:val="20"/>
            <w:szCs w:val="20"/>
          </w:rPr>
        </w:pPr>
        <w:r w:rsidRPr="00B85F06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B85F06">
          <w:rPr>
            <w:rFonts w:ascii="Times New Roman" w:hAnsi="Times New Roman" w:cs="Times New Roman"/>
            <w:sz w:val="20"/>
            <w:szCs w:val="20"/>
          </w:rPr>
          <w:instrText>PAGE   \* MERGEFORMAT</w:instrText>
        </w:r>
        <w:r w:rsidRPr="00B85F06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7456F3">
          <w:rPr>
            <w:rFonts w:ascii="Times New Roman" w:hAnsi="Times New Roman" w:cs="Times New Roman"/>
            <w:noProof/>
            <w:sz w:val="20"/>
            <w:szCs w:val="20"/>
          </w:rPr>
          <w:t>7</w:t>
        </w:r>
        <w:r w:rsidRPr="00B85F06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  <w:p w:rsidR="00B85F06" w:rsidRPr="00B85F06" w:rsidRDefault="00B85F06">
    <w:pPr>
      <w:pStyle w:val="Stopka"/>
      <w:rPr>
        <w:rFonts w:ascii="Times New Roman" w:hAnsi="Times New Roman" w:cs="Times New Roman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D4D63" w:rsidRDefault="00ED4D63" w:rsidP="00B85F06">
      <w:pPr>
        <w:spacing w:after="0" w:line="240" w:lineRule="auto"/>
      </w:pPr>
      <w:r>
        <w:separator/>
      </w:r>
    </w:p>
  </w:footnote>
  <w:footnote w:type="continuationSeparator" w:id="0">
    <w:p w:rsidR="00ED4D63" w:rsidRDefault="00ED4D63" w:rsidP="00B85F0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6214F7"/>
    <w:multiLevelType w:val="hybridMultilevel"/>
    <w:tmpl w:val="0D7228E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9B472D"/>
    <w:multiLevelType w:val="hybridMultilevel"/>
    <w:tmpl w:val="82661F94"/>
    <w:lvl w:ilvl="0" w:tplc="D6C2841A">
      <w:start w:val="1"/>
      <w:numFmt w:val="decimal"/>
      <w:lvlText w:val="%1)"/>
      <w:lvlJc w:val="left"/>
      <w:pPr>
        <w:ind w:left="1764" w:hanging="360"/>
      </w:pPr>
    </w:lvl>
    <w:lvl w:ilvl="1" w:tplc="EEEC8226">
      <w:start w:val="1"/>
      <w:numFmt w:val="lowerLetter"/>
      <w:lvlText w:val="%2)"/>
      <w:lvlJc w:val="left"/>
      <w:pPr>
        <w:ind w:left="2484" w:hanging="360"/>
      </w:pPr>
      <w:rPr>
        <w:i w:val="0"/>
      </w:rPr>
    </w:lvl>
    <w:lvl w:ilvl="2" w:tplc="0415001B">
      <w:start w:val="1"/>
      <w:numFmt w:val="lowerRoman"/>
      <w:lvlText w:val="%3."/>
      <w:lvlJc w:val="right"/>
      <w:pPr>
        <w:ind w:left="3204" w:hanging="180"/>
      </w:pPr>
    </w:lvl>
    <w:lvl w:ilvl="3" w:tplc="0415000F">
      <w:start w:val="1"/>
      <w:numFmt w:val="decimal"/>
      <w:lvlText w:val="%4."/>
      <w:lvlJc w:val="left"/>
      <w:pPr>
        <w:ind w:left="3924" w:hanging="360"/>
      </w:pPr>
    </w:lvl>
    <w:lvl w:ilvl="4" w:tplc="04150019">
      <w:start w:val="1"/>
      <w:numFmt w:val="lowerLetter"/>
      <w:lvlText w:val="%5."/>
      <w:lvlJc w:val="left"/>
      <w:pPr>
        <w:ind w:left="4644" w:hanging="360"/>
      </w:pPr>
    </w:lvl>
    <w:lvl w:ilvl="5" w:tplc="0415001B">
      <w:start w:val="1"/>
      <w:numFmt w:val="lowerRoman"/>
      <w:lvlText w:val="%6."/>
      <w:lvlJc w:val="right"/>
      <w:pPr>
        <w:ind w:left="5364" w:hanging="180"/>
      </w:pPr>
    </w:lvl>
    <w:lvl w:ilvl="6" w:tplc="0415000F">
      <w:start w:val="1"/>
      <w:numFmt w:val="decimal"/>
      <w:lvlText w:val="%7."/>
      <w:lvlJc w:val="left"/>
      <w:pPr>
        <w:ind w:left="6084" w:hanging="360"/>
      </w:pPr>
    </w:lvl>
    <w:lvl w:ilvl="7" w:tplc="04150019">
      <w:start w:val="1"/>
      <w:numFmt w:val="lowerLetter"/>
      <w:lvlText w:val="%8."/>
      <w:lvlJc w:val="left"/>
      <w:pPr>
        <w:ind w:left="6804" w:hanging="360"/>
      </w:pPr>
    </w:lvl>
    <w:lvl w:ilvl="8" w:tplc="0415001B">
      <w:start w:val="1"/>
      <w:numFmt w:val="lowerRoman"/>
      <w:lvlText w:val="%9."/>
      <w:lvlJc w:val="right"/>
      <w:pPr>
        <w:ind w:left="7524" w:hanging="180"/>
      </w:pPr>
    </w:lvl>
  </w:abstractNum>
  <w:abstractNum w:abstractNumId="2" w15:restartNumberingAfterBreak="0">
    <w:nsid w:val="3AAB7A22"/>
    <w:multiLevelType w:val="hybridMultilevel"/>
    <w:tmpl w:val="C0B69268"/>
    <w:lvl w:ilvl="0" w:tplc="04150011">
      <w:start w:val="1"/>
      <w:numFmt w:val="decimal"/>
      <w:lvlText w:val="%1)"/>
      <w:lvlJc w:val="left"/>
      <w:pPr>
        <w:ind w:left="2844" w:hanging="360"/>
      </w:pPr>
    </w:lvl>
    <w:lvl w:ilvl="1" w:tplc="04150019">
      <w:start w:val="1"/>
      <w:numFmt w:val="lowerLetter"/>
      <w:lvlText w:val="%2."/>
      <w:lvlJc w:val="left"/>
      <w:pPr>
        <w:ind w:left="3564" w:hanging="360"/>
      </w:pPr>
    </w:lvl>
    <w:lvl w:ilvl="2" w:tplc="0415001B">
      <w:start w:val="1"/>
      <w:numFmt w:val="lowerRoman"/>
      <w:lvlText w:val="%3."/>
      <w:lvlJc w:val="right"/>
      <w:pPr>
        <w:ind w:left="4284" w:hanging="180"/>
      </w:pPr>
    </w:lvl>
    <w:lvl w:ilvl="3" w:tplc="0415000F">
      <w:start w:val="1"/>
      <w:numFmt w:val="decimal"/>
      <w:lvlText w:val="%4."/>
      <w:lvlJc w:val="left"/>
      <w:pPr>
        <w:ind w:left="5004" w:hanging="360"/>
      </w:pPr>
    </w:lvl>
    <w:lvl w:ilvl="4" w:tplc="04150019">
      <w:start w:val="1"/>
      <w:numFmt w:val="lowerLetter"/>
      <w:lvlText w:val="%5."/>
      <w:lvlJc w:val="left"/>
      <w:pPr>
        <w:ind w:left="5724" w:hanging="360"/>
      </w:pPr>
    </w:lvl>
    <w:lvl w:ilvl="5" w:tplc="0415001B">
      <w:start w:val="1"/>
      <w:numFmt w:val="lowerRoman"/>
      <w:lvlText w:val="%6."/>
      <w:lvlJc w:val="right"/>
      <w:pPr>
        <w:ind w:left="6444" w:hanging="180"/>
      </w:pPr>
    </w:lvl>
    <w:lvl w:ilvl="6" w:tplc="0415000F">
      <w:start w:val="1"/>
      <w:numFmt w:val="decimal"/>
      <w:lvlText w:val="%7."/>
      <w:lvlJc w:val="left"/>
      <w:pPr>
        <w:ind w:left="7164" w:hanging="360"/>
      </w:pPr>
    </w:lvl>
    <w:lvl w:ilvl="7" w:tplc="04150019">
      <w:start w:val="1"/>
      <w:numFmt w:val="lowerLetter"/>
      <w:lvlText w:val="%8."/>
      <w:lvlJc w:val="left"/>
      <w:pPr>
        <w:ind w:left="7884" w:hanging="360"/>
      </w:pPr>
    </w:lvl>
    <w:lvl w:ilvl="8" w:tplc="0415001B">
      <w:start w:val="1"/>
      <w:numFmt w:val="lowerRoman"/>
      <w:lvlText w:val="%9."/>
      <w:lvlJc w:val="right"/>
      <w:pPr>
        <w:ind w:left="8604" w:hanging="180"/>
      </w:pPr>
    </w:lvl>
  </w:abstractNum>
  <w:abstractNum w:abstractNumId="3" w15:restartNumberingAfterBreak="0">
    <w:nsid w:val="516018D3"/>
    <w:multiLevelType w:val="hybridMultilevel"/>
    <w:tmpl w:val="DA2099C6"/>
    <w:lvl w:ilvl="0" w:tplc="82D0C7EA">
      <w:start w:val="1"/>
      <w:numFmt w:val="decimal"/>
      <w:lvlText w:val="%1)"/>
      <w:lvlJc w:val="left"/>
      <w:pPr>
        <w:ind w:left="1776" w:hanging="360"/>
      </w:pPr>
    </w:lvl>
    <w:lvl w:ilvl="1" w:tplc="04150019">
      <w:start w:val="1"/>
      <w:numFmt w:val="lowerLetter"/>
      <w:lvlText w:val="%2."/>
      <w:lvlJc w:val="left"/>
      <w:pPr>
        <w:ind w:left="2496" w:hanging="360"/>
      </w:pPr>
    </w:lvl>
    <w:lvl w:ilvl="2" w:tplc="0415001B">
      <w:start w:val="1"/>
      <w:numFmt w:val="lowerRoman"/>
      <w:lvlText w:val="%3."/>
      <w:lvlJc w:val="right"/>
      <w:pPr>
        <w:ind w:left="3216" w:hanging="180"/>
      </w:pPr>
    </w:lvl>
    <w:lvl w:ilvl="3" w:tplc="0415000F">
      <w:start w:val="1"/>
      <w:numFmt w:val="decimal"/>
      <w:lvlText w:val="%4."/>
      <w:lvlJc w:val="left"/>
      <w:pPr>
        <w:ind w:left="3936" w:hanging="360"/>
      </w:pPr>
    </w:lvl>
    <w:lvl w:ilvl="4" w:tplc="04150019">
      <w:start w:val="1"/>
      <w:numFmt w:val="lowerLetter"/>
      <w:lvlText w:val="%5."/>
      <w:lvlJc w:val="left"/>
      <w:pPr>
        <w:ind w:left="4656" w:hanging="360"/>
      </w:pPr>
    </w:lvl>
    <w:lvl w:ilvl="5" w:tplc="0415001B">
      <w:start w:val="1"/>
      <w:numFmt w:val="lowerRoman"/>
      <w:lvlText w:val="%6."/>
      <w:lvlJc w:val="right"/>
      <w:pPr>
        <w:ind w:left="5376" w:hanging="180"/>
      </w:pPr>
    </w:lvl>
    <w:lvl w:ilvl="6" w:tplc="0415000F">
      <w:start w:val="1"/>
      <w:numFmt w:val="decimal"/>
      <w:lvlText w:val="%7."/>
      <w:lvlJc w:val="left"/>
      <w:pPr>
        <w:ind w:left="6096" w:hanging="360"/>
      </w:pPr>
    </w:lvl>
    <w:lvl w:ilvl="7" w:tplc="04150019">
      <w:start w:val="1"/>
      <w:numFmt w:val="lowerLetter"/>
      <w:lvlText w:val="%8."/>
      <w:lvlJc w:val="left"/>
      <w:pPr>
        <w:ind w:left="6816" w:hanging="360"/>
      </w:pPr>
    </w:lvl>
    <w:lvl w:ilvl="8" w:tplc="0415001B">
      <w:start w:val="1"/>
      <w:numFmt w:val="lowerRoman"/>
      <w:lvlText w:val="%9."/>
      <w:lvlJc w:val="right"/>
      <w:pPr>
        <w:ind w:left="7536" w:hanging="180"/>
      </w:pPr>
    </w:lvl>
  </w:abstractNum>
  <w:abstractNum w:abstractNumId="4" w15:restartNumberingAfterBreak="0">
    <w:nsid w:val="56430618"/>
    <w:multiLevelType w:val="hybridMultilevel"/>
    <w:tmpl w:val="B60A20F6"/>
    <w:lvl w:ilvl="0" w:tplc="04150017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60E508B6"/>
    <w:multiLevelType w:val="hybridMultilevel"/>
    <w:tmpl w:val="FE8AA132"/>
    <w:lvl w:ilvl="0" w:tplc="B5AAE65A">
      <w:start w:val="1"/>
      <w:numFmt w:val="decimal"/>
      <w:lvlText w:val="%1)"/>
      <w:lvlJc w:val="left"/>
      <w:pPr>
        <w:ind w:left="1569" w:hanging="435"/>
      </w:pPr>
    </w:lvl>
    <w:lvl w:ilvl="1" w:tplc="04150017">
      <w:start w:val="1"/>
      <w:numFmt w:val="lowerLetter"/>
      <w:lvlText w:val="%2)"/>
      <w:lvlJc w:val="left"/>
      <w:pPr>
        <w:ind w:left="2214" w:hanging="360"/>
      </w:pPr>
    </w:lvl>
    <w:lvl w:ilvl="2" w:tplc="0415001B">
      <w:start w:val="1"/>
      <w:numFmt w:val="lowerRoman"/>
      <w:lvlText w:val="%3."/>
      <w:lvlJc w:val="right"/>
      <w:pPr>
        <w:ind w:left="2934" w:hanging="180"/>
      </w:pPr>
    </w:lvl>
    <w:lvl w:ilvl="3" w:tplc="0415000F">
      <w:start w:val="1"/>
      <w:numFmt w:val="decimal"/>
      <w:lvlText w:val="%4."/>
      <w:lvlJc w:val="left"/>
      <w:pPr>
        <w:ind w:left="3654" w:hanging="360"/>
      </w:pPr>
    </w:lvl>
    <w:lvl w:ilvl="4" w:tplc="04150019">
      <w:start w:val="1"/>
      <w:numFmt w:val="lowerLetter"/>
      <w:lvlText w:val="%5."/>
      <w:lvlJc w:val="left"/>
      <w:pPr>
        <w:ind w:left="4374" w:hanging="360"/>
      </w:pPr>
    </w:lvl>
    <w:lvl w:ilvl="5" w:tplc="0415001B">
      <w:start w:val="1"/>
      <w:numFmt w:val="lowerRoman"/>
      <w:lvlText w:val="%6."/>
      <w:lvlJc w:val="right"/>
      <w:pPr>
        <w:ind w:left="5094" w:hanging="180"/>
      </w:pPr>
    </w:lvl>
    <w:lvl w:ilvl="6" w:tplc="0415000F">
      <w:start w:val="1"/>
      <w:numFmt w:val="decimal"/>
      <w:lvlText w:val="%7."/>
      <w:lvlJc w:val="left"/>
      <w:pPr>
        <w:ind w:left="5814" w:hanging="360"/>
      </w:pPr>
    </w:lvl>
    <w:lvl w:ilvl="7" w:tplc="04150019">
      <w:start w:val="1"/>
      <w:numFmt w:val="lowerLetter"/>
      <w:lvlText w:val="%8."/>
      <w:lvlJc w:val="left"/>
      <w:pPr>
        <w:ind w:left="6534" w:hanging="360"/>
      </w:pPr>
    </w:lvl>
    <w:lvl w:ilvl="8" w:tplc="0415001B">
      <w:start w:val="1"/>
      <w:numFmt w:val="lowerRoman"/>
      <w:lvlText w:val="%9."/>
      <w:lvlJc w:val="right"/>
      <w:pPr>
        <w:ind w:left="7254" w:hanging="180"/>
      </w:pPr>
    </w:lvl>
  </w:abstractNum>
  <w:abstractNum w:abstractNumId="6" w15:restartNumberingAfterBreak="0">
    <w:nsid w:val="64294125"/>
    <w:multiLevelType w:val="hybridMultilevel"/>
    <w:tmpl w:val="69A2F786"/>
    <w:lvl w:ilvl="0" w:tplc="1250FC8C">
      <w:start w:val="1"/>
      <w:numFmt w:val="decimal"/>
      <w:lvlText w:val="%1)"/>
      <w:lvlJc w:val="left"/>
      <w:pPr>
        <w:ind w:left="1764" w:hanging="360"/>
      </w:pPr>
      <w:rPr>
        <w:b w:val="0"/>
      </w:rPr>
    </w:lvl>
    <w:lvl w:ilvl="1" w:tplc="04150017">
      <w:start w:val="1"/>
      <w:numFmt w:val="lowerLetter"/>
      <w:lvlText w:val="%2)"/>
      <w:lvlJc w:val="left"/>
      <w:pPr>
        <w:ind w:left="2484" w:hanging="360"/>
      </w:pPr>
    </w:lvl>
    <w:lvl w:ilvl="2" w:tplc="0415001B">
      <w:start w:val="1"/>
      <w:numFmt w:val="lowerRoman"/>
      <w:lvlText w:val="%3."/>
      <w:lvlJc w:val="right"/>
      <w:pPr>
        <w:ind w:left="3204" w:hanging="180"/>
      </w:pPr>
    </w:lvl>
    <w:lvl w:ilvl="3" w:tplc="0415000F">
      <w:start w:val="1"/>
      <w:numFmt w:val="decimal"/>
      <w:lvlText w:val="%4."/>
      <w:lvlJc w:val="left"/>
      <w:pPr>
        <w:ind w:left="3924" w:hanging="360"/>
      </w:pPr>
    </w:lvl>
    <w:lvl w:ilvl="4" w:tplc="04150019">
      <w:start w:val="1"/>
      <w:numFmt w:val="lowerLetter"/>
      <w:lvlText w:val="%5."/>
      <w:lvlJc w:val="left"/>
      <w:pPr>
        <w:ind w:left="4644" w:hanging="360"/>
      </w:pPr>
    </w:lvl>
    <w:lvl w:ilvl="5" w:tplc="0415001B">
      <w:start w:val="1"/>
      <w:numFmt w:val="lowerRoman"/>
      <w:lvlText w:val="%6."/>
      <w:lvlJc w:val="right"/>
      <w:pPr>
        <w:ind w:left="5364" w:hanging="180"/>
      </w:pPr>
    </w:lvl>
    <w:lvl w:ilvl="6" w:tplc="0415000F">
      <w:start w:val="1"/>
      <w:numFmt w:val="decimal"/>
      <w:lvlText w:val="%7."/>
      <w:lvlJc w:val="left"/>
      <w:pPr>
        <w:ind w:left="6084" w:hanging="360"/>
      </w:pPr>
    </w:lvl>
    <w:lvl w:ilvl="7" w:tplc="04150019">
      <w:start w:val="1"/>
      <w:numFmt w:val="lowerLetter"/>
      <w:lvlText w:val="%8."/>
      <w:lvlJc w:val="left"/>
      <w:pPr>
        <w:ind w:left="6804" w:hanging="360"/>
      </w:pPr>
    </w:lvl>
    <w:lvl w:ilvl="8" w:tplc="0415001B">
      <w:start w:val="1"/>
      <w:numFmt w:val="lowerRoman"/>
      <w:lvlText w:val="%9."/>
      <w:lvlJc w:val="right"/>
      <w:pPr>
        <w:ind w:left="7524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</w:num>
  <w:num w:numId="7">
    <w:abstractNumId w:val="5"/>
  </w:num>
  <w:num w:numId="8">
    <w:abstractNumId w:val="1"/>
  </w:num>
  <w:num w:numId="9">
    <w:abstractNumId w:val="0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4D75"/>
    <w:rsid w:val="00015DC3"/>
    <w:rsid w:val="0005353D"/>
    <w:rsid w:val="00090FF8"/>
    <w:rsid w:val="000A6F1E"/>
    <w:rsid w:val="001F7A9C"/>
    <w:rsid w:val="0023252C"/>
    <w:rsid w:val="002427EB"/>
    <w:rsid w:val="00265C9C"/>
    <w:rsid w:val="00297BC8"/>
    <w:rsid w:val="002B4F65"/>
    <w:rsid w:val="00364D75"/>
    <w:rsid w:val="00385A78"/>
    <w:rsid w:val="003B6862"/>
    <w:rsid w:val="003C592C"/>
    <w:rsid w:val="004066A7"/>
    <w:rsid w:val="00476A0B"/>
    <w:rsid w:val="005870CC"/>
    <w:rsid w:val="005E0869"/>
    <w:rsid w:val="0068332B"/>
    <w:rsid w:val="007456F3"/>
    <w:rsid w:val="007B5F18"/>
    <w:rsid w:val="00813C10"/>
    <w:rsid w:val="008972F0"/>
    <w:rsid w:val="008B0FFF"/>
    <w:rsid w:val="008B2B7F"/>
    <w:rsid w:val="00933133"/>
    <w:rsid w:val="0095324E"/>
    <w:rsid w:val="00B85F06"/>
    <w:rsid w:val="00BB18D3"/>
    <w:rsid w:val="00BD40EC"/>
    <w:rsid w:val="00C155CD"/>
    <w:rsid w:val="00C219EA"/>
    <w:rsid w:val="00C81F80"/>
    <w:rsid w:val="00C8565C"/>
    <w:rsid w:val="00CA1C0C"/>
    <w:rsid w:val="00D42EF5"/>
    <w:rsid w:val="00DC7A71"/>
    <w:rsid w:val="00E150C4"/>
    <w:rsid w:val="00E3324A"/>
    <w:rsid w:val="00E42B71"/>
    <w:rsid w:val="00E867AF"/>
    <w:rsid w:val="00EC45A3"/>
    <w:rsid w:val="00ED4D63"/>
    <w:rsid w:val="00F32869"/>
    <w:rsid w:val="00FF12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915FB42-374B-414A-99ED-A4837AB8BC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64D75"/>
    <w:pPr>
      <w:spacing w:line="25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364D75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B85F0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85F06"/>
  </w:style>
  <w:style w:type="paragraph" w:styleId="Stopka">
    <w:name w:val="footer"/>
    <w:basedOn w:val="Normalny"/>
    <w:link w:val="StopkaZnak"/>
    <w:uiPriority w:val="99"/>
    <w:unhideWhenUsed/>
    <w:rsid w:val="00B85F0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85F06"/>
  </w:style>
  <w:style w:type="character" w:styleId="Odwoaniedokomentarza">
    <w:name w:val="annotation reference"/>
    <w:basedOn w:val="Domylnaczcionkaakapitu"/>
    <w:uiPriority w:val="99"/>
    <w:semiHidden/>
    <w:unhideWhenUsed/>
    <w:rsid w:val="00E867A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867AF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867AF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867A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867AF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867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867A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756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2188</Words>
  <Characters>13131</Characters>
  <Application>Microsoft Office Word</Application>
  <DocSecurity>0</DocSecurity>
  <Lines>109</Lines>
  <Paragraphs>30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Grażyna D. Grabowska</dc:creator>
  <cp:lastModifiedBy>Grażyna D. Grabowska</cp:lastModifiedBy>
  <cp:revision>2</cp:revision>
  <cp:lastPrinted>2018-04-30T06:50:00Z</cp:lastPrinted>
  <dcterms:created xsi:type="dcterms:W3CDTF">2018-05-04T10:06:00Z</dcterms:created>
  <dcterms:modified xsi:type="dcterms:W3CDTF">2018-05-04T10:06:00Z</dcterms:modified>
</cp:coreProperties>
</file>